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b/>
          <w:sz w:val="44"/>
          <w:szCs w:val="44"/>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72"/>
          <w:szCs w:val="7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72"/>
          <w:szCs w:val="7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楷体_GB2312" w:cs="Times New Roman"/>
          <w:b w:val="0"/>
          <w:bCs/>
          <w:sz w:val="72"/>
          <w:szCs w:val="72"/>
          <w:highlight w:val="none"/>
        </w:rPr>
      </w:pPr>
      <w:r>
        <w:rPr>
          <w:rFonts w:hint="eastAsia" w:ascii="Times New Roman" w:hAnsi="Times New Roman" w:eastAsia="方正小标宋简体" w:cs="Times New Roman"/>
          <w:b w:val="0"/>
          <w:bCs/>
          <w:sz w:val="72"/>
          <w:szCs w:val="72"/>
          <w:highlight w:val="none"/>
          <w:lang w:val="en-US" w:eastAsia="zh-CN"/>
        </w:rPr>
        <w:t xml:space="preserve">泸州市残疾人联合会           </w:t>
      </w:r>
      <w:r>
        <w:rPr>
          <w:rFonts w:hint="eastAsia" w:ascii="Times New Roman" w:hAnsi="Times New Roman" w:eastAsia="方正小标宋简体" w:cs="Times New Roman"/>
          <w:b w:val="0"/>
          <w:bCs/>
          <w:sz w:val="72"/>
          <w:szCs w:val="72"/>
          <w:highlight w:val="none"/>
          <w:lang w:eastAsia="zh-CN"/>
        </w:rPr>
        <w:t>2024</w:t>
      </w:r>
      <w:r>
        <w:rPr>
          <w:rFonts w:hint="default" w:ascii="Times New Roman" w:hAnsi="Times New Roman" w:eastAsia="方正小标宋简体" w:cs="Times New Roman"/>
          <w:b w:val="0"/>
          <w:bCs/>
          <w:sz w:val="72"/>
          <w:szCs w:val="72"/>
          <w:highlight w:val="none"/>
        </w:rPr>
        <w:t>年</w:t>
      </w:r>
      <w:r>
        <w:rPr>
          <w:rFonts w:hint="eastAsia" w:ascii="Times New Roman" w:hAnsi="Times New Roman" w:eastAsia="方正小标宋简体" w:cs="Times New Roman"/>
          <w:b w:val="0"/>
          <w:bCs/>
          <w:sz w:val="72"/>
          <w:szCs w:val="72"/>
          <w:highlight w:val="none"/>
          <w:lang w:eastAsia="zh-CN"/>
        </w:rPr>
        <w:t>部门</w:t>
      </w:r>
      <w:r>
        <w:rPr>
          <w:rFonts w:hint="default" w:ascii="Times New Roman" w:hAnsi="Times New Roman" w:eastAsia="方正小标宋简体" w:cs="Times New Roman"/>
          <w:b w:val="0"/>
          <w:bCs/>
          <w:sz w:val="72"/>
          <w:szCs w:val="72"/>
          <w:highlight w:val="none"/>
        </w:rPr>
        <w:t>预算</w:t>
      </w: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eastAsia" w:ascii="Times New Roman" w:hAnsi="Times New Roman" w:eastAsia="楷体_GB2312" w:cs="Times New Roman"/>
          <w:b/>
          <w:sz w:val="44"/>
          <w:szCs w:val="44"/>
          <w:highlight w:val="none"/>
          <w:lang w:eastAsia="zh-CN"/>
        </w:rPr>
      </w:pPr>
      <w:r>
        <w:rPr>
          <w:rFonts w:hint="eastAsia" w:ascii="Times New Roman" w:hAnsi="Times New Roman" w:eastAsia="楷体_GB2312" w:cs="Times New Roman"/>
          <w:b/>
          <w:sz w:val="44"/>
          <w:szCs w:val="44"/>
          <w:highlight w:val="none"/>
          <w:lang w:eastAsia="zh-CN"/>
        </w:rPr>
        <w:t>目录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楷体_GB2312" w:cs="Times New Roman"/>
          <w:b/>
          <w:sz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楷体_GB2312" w:cs="Times New Roman"/>
          <w:b/>
          <w:sz w:val="32"/>
          <w:highlight w:val="none"/>
          <w:lang w:eastAsia="zh-CN"/>
        </w:rPr>
      </w:pPr>
      <w:r>
        <w:rPr>
          <w:rFonts w:hint="eastAsia" w:ascii="Times New Roman" w:hAnsi="Times New Roman" w:eastAsia="楷体_GB2312" w:cs="Times New Roman"/>
          <w:b/>
          <w:sz w:val="32"/>
          <w:highlight w:val="none"/>
          <w:lang w:eastAsia="zh-CN"/>
        </w:rPr>
        <w:t>第一部分</w:t>
      </w:r>
      <w:r>
        <w:rPr>
          <w:rFonts w:hint="eastAsia" w:ascii="Times New Roman" w:hAnsi="Times New Roman" w:eastAsia="楷体_GB2312" w:cs="Times New Roman"/>
          <w:b/>
          <w:sz w:val="32"/>
          <w:highlight w:val="none"/>
          <w:lang w:val="en-US" w:eastAsia="zh-CN"/>
        </w:rPr>
        <w:t xml:space="preserve">  泸州市残疾人联合会</w:t>
      </w:r>
      <w:r>
        <w:rPr>
          <w:rFonts w:hint="eastAsia" w:ascii="Times New Roman" w:hAnsi="Times New Roman" w:eastAsia="楷体_GB2312" w:cs="Times New Roman"/>
          <w:b/>
          <w:sz w:val="32"/>
          <w:highlight w:val="none"/>
          <w:lang w:eastAsia="zh-CN"/>
        </w:rPr>
        <w:t>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一、基本职能及主要工作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二、部门预算单位构成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楷体_GB2312" w:cs="Times New Roman"/>
          <w:b/>
          <w:sz w:val="32"/>
          <w:highlight w:val="none"/>
          <w:lang w:val="en-US" w:eastAsia="zh-CN"/>
        </w:rPr>
      </w:pPr>
      <w:r>
        <w:rPr>
          <w:rFonts w:hint="eastAsia" w:ascii="Times New Roman" w:hAnsi="Times New Roman" w:eastAsia="楷体_GB2312" w:cs="Times New Roman"/>
          <w:b/>
          <w:sz w:val="32"/>
          <w:highlight w:val="none"/>
          <w:lang w:eastAsia="zh-CN"/>
        </w:rPr>
        <w:t>第二部分</w:t>
      </w:r>
      <w:r>
        <w:rPr>
          <w:rFonts w:hint="eastAsia" w:ascii="Times New Roman" w:hAnsi="Times New Roman" w:eastAsia="楷体_GB2312" w:cs="Times New Roman"/>
          <w:b/>
          <w:sz w:val="32"/>
          <w:highlight w:val="none"/>
          <w:lang w:val="en-US" w:eastAsia="zh-CN"/>
        </w:rPr>
        <w:t xml:space="preserve">  泸州市残疾人联合会2024年部门预算情况说明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一、收支预算情况说明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二、财政拨款收支预算情况说明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三、一般公共预算当年拨款情况说明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四、一般公共预算基本支出情况说明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五、“三公”经费财政拨款预算安排情况说明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六、政府性基金预算支出情况说明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val="0"/>
          <w:sz w:val="32"/>
          <w:szCs w:val="32"/>
          <w:highlight w:val="none"/>
          <w:lang w:eastAsia="zh-CN"/>
        </w:rPr>
      </w:pPr>
      <w:r>
        <w:rPr>
          <w:rFonts w:hint="eastAsia" w:ascii="方正仿宋简体" w:hAnsi="方正仿宋简体" w:eastAsia="方正仿宋简体" w:cs="方正仿宋简体"/>
          <w:b/>
          <w:bCs w:val="0"/>
          <w:sz w:val="32"/>
          <w:szCs w:val="32"/>
          <w:highlight w:val="none"/>
          <w:lang w:eastAsia="zh-CN"/>
        </w:rPr>
        <w:t>七、国有资本经营预算支出情况说明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val="0"/>
          <w:sz w:val="32"/>
          <w:szCs w:val="32"/>
          <w:highlight w:val="none"/>
          <w:lang w:eastAsia="zh-CN"/>
        </w:rPr>
      </w:pPr>
      <w:r>
        <w:rPr>
          <w:rFonts w:hint="eastAsia" w:ascii="方正仿宋简体" w:hAnsi="方正仿宋简体" w:eastAsia="方正仿宋简体" w:cs="方正仿宋简体"/>
          <w:b/>
          <w:bCs w:val="0"/>
          <w:sz w:val="32"/>
          <w:szCs w:val="32"/>
          <w:highlight w:val="none"/>
          <w:lang w:eastAsia="zh-CN"/>
        </w:rPr>
        <w:t>八、其他重要事项的情况说明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val="0"/>
          <w:highlight w:val="none"/>
        </w:rPr>
      </w:pPr>
      <w:r>
        <w:rPr>
          <w:rFonts w:hint="eastAsia" w:ascii="方正仿宋简体" w:hAnsi="方正仿宋简体" w:eastAsia="方正仿宋简体" w:cs="方正仿宋简体"/>
          <w:b/>
          <w:bCs w:val="0"/>
          <w:kern w:val="2"/>
          <w:sz w:val="32"/>
          <w:szCs w:val="22"/>
          <w:highlight w:val="none"/>
          <w:lang w:val="en-US" w:eastAsia="zh-CN" w:bidi="ar-SA"/>
        </w:rPr>
        <w:t>（一）机关运行经费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val="0"/>
          <w:kern w:val="2"/>
          <w:sz w:val="32"/>
          <w:szCs w:val="22"/>
          <w:highlight w:val="none"/>
          <w:lang w:val="en-US" w:eastAsia="zh-CN" w:bidi="ar-SA"/>
        </w:rPr>
      </w:pPr>
      <w:r>
        <w:rPr>
          <w:rFonts w:hint="eastAsia" w:ascii="方正仿宋简体" w:hAnsi="方正仿宋简体" w:eastAsia="方正仿宋简体" w:cs="方正仿宋简体"/>
          <w:b/>
          <w:bCs w:val="0"/>
          <w:kern w:val="2"/>
          <w:sz w:val="32"/>
          <w:szCs w:val="22"/>
          <w:highlight w:val="none"/>
          <w:lang w:val="en-US" w:eastAsia="zh-CN" w:bidi="ar-SA"/>
        </w:rPr>
        <w:t>（二）政府采购情况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val="0"/>
          <w:kern w:val="2"/>
          <w:sz w:val="32"/>
          <w:szCs w:val="22"/>
          <w:highlight w:val="none"/>
          <w:lang w:val="en-US" w:eastAsia="zh-CN" w:bidi="ar-SA"/>
        </w:rPr>
      </w:pPr>
      <w:r>
        <w:rPr>
          <w:rFonts w:hint="eastAsia" w:ascii="方正仿宋简体" w:hAnsi="方正仿宋简体" w:eastAsia="方正仿宋简体" w:cs="方正仿宋简体"/>
          <w:b/>
          <w:bCs w:val="0"/>
          <w:kern w:val="2"/>
          <w:sz w:val="32"/>
          <w:szCs w:val="22"/>
          <w:highlight w:val="none"/>
          <w:lang w:val="en-US" w:eastAsia="zh-CN" w:bidi="ar-SA"/>
        </w:rPr>
        <w:t>（三）国有资产占有使用情况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val="0"/>
          <w:kern w:val="2"/>
          <w:sz w:val="32"/>
          <w:szCs w:val="22"/>
          <w:highlight w:val="none"/>
          <w:lang w:val="en-US" w:eastAsia="zh-CN" w:bidi="ar-SA"/>
        </w:rPr>
      </w:pPr>
      <w:r>
        <w:rPr>
          <w:rFonts w:hint="eastAsia" w:ascii="方正仿宋简体" w:hAnsi="方正仿宋简体" w:eastAsia="方正仿宋简体" w:cs="方正仿宋简体"/>
          <w:b/>
          <w:bCs w:val="0"/>
          <w:kern w:val="2"/>
          <w:sz w:val="32"/>
          <w:szCs w:val="22"/>
          <w:highlight w:val="none"/>
          <w:lang w:val="en-US" w:eastAsia="zh-CN" w:bidi="ar-SA"/>
        </w:rPr>
        <w:t>（四）绩效目标设置情况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sz w:val="32"/>
          <w:highlight w:val="none"/>
        </w:rPr>
      </w:pPr>
      <w:r>
        <w:rPr>
          <w:rFonts w:hint="eastAsia" w:ascii="Times New Roman" w:hAnsi="Times New Roman" w:eastAsia="楷体_GB2312" w:cs="Times New Roman"/>
          <w:b/>
          <w:sz w:val="32"/>
          <w:highlight w:val="none"/>
          <w:lang w:eastAsia="zh-CN"/>
        </w:rPr>
        <w:t>第三部分</w:t>
      </w:r>
      <w:r>
        <w:rPr>
          <w:rFonts w:hint="eastAsia" w:ascii="Times New Roman" w:hAnsi="Times New Roman" w:eastAsia="楷体_GB2312" w:cs="Times New Roman"/>
          <w:b/>
          <w:sz w:val="32"/>
          <w:highlight w:val="none"/>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简体" w:cs="Times New Roman"/>
          <w:b w:val="0"/>
          <w:bCs/>
          <w:sz w:val="48"/>
          <w:szCs w:val="48"/>
          <w:highlight w:val="none"/>
          <w:lang w:eastAsia="zh-CN"/>
        </w:rPr>
      </w:pPr>
      <w:r>
        <w:rPr>
          <w:rFonts w:hint="eastAsia" w:ascii="Times New Roman" w:hAnsi="Times New Roman" w:eastAsia="方正小标宋简体" w:cs="Times New Roman"/>
          <w:b w:val="0"/>
          <w:bCs/>
          <w:sz w:val="48"/>
          <w:szCs w:val="48"/>
          <w:highlight w:val="none"/>
          <w:lang w:eastAsia="zh-CN"/>
        </w:rPr>
        <w:t>第一部分</w:t>
      </w:r>
      <w:r>
        <w:rPr>
          <w:rFonts w:hint="eastAsia" w:ascii="Times New Roman" w:hAnsi="Times New Roman" w:eastAsia="方正小标宋简体" w:cs="Times New Roman"/>
          <w:b w:val="0"/>
          <w:bCs/>
          <w:sz w:val="48"/>
          <w:szCs w:val="48"/>
          <w:highlight w:val="none"/>
          <w:lang w:val="en-US" w:eastAsia="zh-CN"/>
        </w:rPr>
        <w:t xml:space="preserve">  泸州市残疾人联合会</w:t>
      </w:r>
      <w:r>
        <w:rPr>
          <w:rFonts w:hint="eastAsia" w:ascii="Times New Roman" w:hAnsi="Times New Roman" w:eastAsia="方正小标宋简体" w:cs="Times New Roman"/>
          <w:b w:val="0"/>
          <w:bCs/>
          <w:sz w:val="48"/>
          <w:szCs w:val="48"/>
          <w:highlight w:val="none"/>
          <w:lang w:eastAsia="zh-CN"/>
        </w:rPr>
        <w:t>概况</w:t>
      </w: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580" w:lineRule="exact"/>
        <w:ind w:firstLine="640" w:firstLineChars="200"/>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一、</w:t>
      </w:r>
      <w:r>
        <w:rPr>
          <w:rFonts w:hint="eastAsia" w:ascii="Times New Roman" w:hAnsi="Times New Roman" w:eastAsia="黑体" w:cs="Times New Roman"/>
          <w:sz w:val="32"/>
          <w:szCs w:val="32"/>
          <w:highlight w:val="none"/>
          <w:lang w:eastAsia="zh-CN"/>
        </w:rPr>
        <w:t>基本职能及主要工作</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eastAsia" w:ascii="仿宋_GB2312" w:hAnsi="仿宋_GB2312" w:eastAsia="仿宋_GB2312" w:cs="仿宋_GB2312"/>
          <w:b/>
          <w:sz w:val="32"/>
          <w:highlight w:val="none"/>
        </w:rPr>
      </w:pPr>
      <w:r>
        <w:rPr>
          <w:rFonts w:hint="eastAsia" w:ascii="Times New Roman" w:hAnsi="Times New Roman" w:eastAsia="楷体_GB2312" w:cs="Times New Roman"/>
          <w:b/>
          <w:sz w:val="32"/>
          <w:highlight w:val="none"/>
          <w:lang w:val="en-US" w:eastAsia="zh-CN"/>
        </w:rPr>
        <w:t>（一）</w:t>
      </w:r>
      <w:r>
        <w:rPr>
          <w:rFonts w:hint="eastAsia" w:ascii="Times New Roman" w:hAnsi="Times New Roman" w:eastAsia="楷体_GB2312" w:cs="Times New Roman"/>
          <w:b/>
          <w:sz w:val="32"/>
          <w:highlight w:val="none"/>
          <w:lang w:eastAsia="zh-CN"/>
        </w:rPr>
        <w:t>泸州市残疾人联合会</w:t>
      </w:r>
      <w:r>
        <w:rPr>
          <w:rFonts w:hint="default" w:ascii="Times New Roman" w:hAnsi="Times New Roman" w:eastAsia="楷体_GB2312" w:cs="Times New Roman"/>
          <w:b/>
          <w:sz w:val="32"/>
          <w:highlight w:val="none"/>
        </w:rPr>
        <w:t>职能简介。</w:t>
      </w:r>
      <w:r>
        <w:rPr>
          <w:rFonts w:hint="eastAsia" w:ascii="仿宋_GB2312" w:hAnsi="仿宋_GB2312" w:eastAsia="仿宋_GB2312" w:cs="仿宋_GB2312"/>
          <w:b w:val="0"/>
          <w:bCs/>
          <w:sz w:val="32"/>
          <w:highlight w:val="none"/>
        </w:rPr>
        <w:t>弘扬人道主义，发展残疾人事业，维护残疾人合法权益；团结教育残疾人；开展各项业务和活动，直接为残疾人服务；承担市政府委托的行政职能，发展和管理残疾人事业。泸州市残疾人劳动就业服务所职能职责：开展残疾人劳动资源和社会用工调查、劳动能力评估、求职登记、就业咨询、职业培训、职业介绍，对单位安置残疾人进行审核认定等工作。泸州市残疾人康复服务中心职能职责：开展残疾人康复、教育、科研工作，培训基层康复技术骨干；宣传普及康复和残疾预防知识；承担残疾人假肢、矫形器等用品用具组织管理、供应、维修工作；负责残疾人社区康复及外援康复项目工作；指导残疾人开展文化、体育、娱乐活动并提供服务；指导基层残疾人康复机构工作。</w:t>
      </w:r>
      <w:r>
        <w:rPr>
          <w:rFonts w:hint="eastAsia" w:hAnsi="仿宋_GB2312" w:cs="仿宋_GB2312"/>
          <w:b w:val="0"/>
          <w:bCs/>
          <w:sz w:val="32"/>
          <w:highlight w:val="none"/>
          <w:lang w:eastAsia="zh-CN"/>
        </w:rPr>
        <w:t>泸州市残疾人联合会</w:t>
      </w:r>
      <w:r>
        <w:rPr>
          <w:rFonts w:hint="eastAsia" w:ascii="仿宋_GB2312" w:hAnsi="仿宋_GB2312" w:eastAsia="仿宋_GB2312" w:cs="仿宋_GB2312"/>
          <w:b w:val="0"/>
          <w:bCs/>
          <w:sz w:val="32"/>
          <w:highlight w:val="none"/>
        </w:rPr>
        <w:t>设3个内设机构，主要有办公室、组织宣传发展科和康复教育就业科。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val="0"/>
          <w:bCs/>
          <w:kern w:val="2"/>
          <w:sz w:val="32"/>
          <w:szCs w:val="22"/>
          <w:highlight w:val="none"/>
          <w:lang w:val="en-US" w:eastAsia="zh-CN" w:bidi="ar-SA"/>
        </w:rPr>
      </w:pPr>
      <w:r>
        <w:rPr>
          <w:rFonts w:hint="eastAsia" w:ascii="Times New Roman" w:hAnsi="Times New Roman" w:eastAsia="楷体_GB2312" w:cs="Times New Roman"/>
          <w:b/>
          <w:sz w:val="32"/>
          <w:highlight w:val="none"/>
          <w:lang w:val="en-US" w:eastAsia="zh-CN"/>
        </w:rPr>
        <w:t>（二）泸州市残疾人联合会2024</w:t>
      </w:r>
      <w:r>
        <w:rPr>
          <w:rFonts w:hint="default" w:ascii="Times New Roman" w:hAnsi="Times New Roman" w:eastAsia="楷体_GB2312" w:cs="Times New Roman"/>
          <w:b/>
          <w:sz w:val="32"/>
          <w:highlight w:val="none"/>
          <w:lang w:val="en-US" w:eastAsia="zh-CN"/>
        </w:rPr>
        <w:t>年重点工作。</w:t>
      </w:r>
      <w:r>
        <w:rPr>
          <w:rFonts w:hint="default" w:ascii="Times New Roman" w:hAnsi="Times New Roman" w:eastAsia="仿宋_GB2312" w:cs="Times New Roman"/>
          <w:b w:val="0"/>
          <w:bCs/>
          <w:kern w:val="2"/>
          <w:sz w:val="32"/>
          <w:szCs w:val="22"/>
          <w:highlight w:val="none"/>
          <w:lang w:val="en-US" w:eastAsia="zh-CN" w:bidi="ar-SA"/>
        </w:rPr>
        <w:t>2024年为泸州市残联系统“关爱服务优化年”，坚持以习近平新时代中国特色社会主义思想为指导，全面贯彻党的二十大和习近平总书记对四川工作系列重要指示精神，以“三基”为导向，以“三化”为切口，大力实施残疾人事业高质量发展“八大行动”，持续深化“量体裁衣”式残疾人服务，扎实推进城乡残疾人事业深度融合发展。为符合条件的三区残疾儿童手术、康复训练提供交通生活补助，为全市残疾大学新生和残疾人子女大学新生提供助学补助，强化残疾人组联、维权、宣文体工作，为困难残疾人提供力所能及的关心和帮助，组织参加四川省单项残疾人运动会，开展残疾人体育活动，促进我市竞技体育全面、协调、健康、可持续发展。通过一系列项目的实施，切实提高全市残疾人生活质量，提高残疾人综合素质，营造全社会尊重、关爱、帮助残疾人浓厚氛围，促进我市残疾人事业高质量发展。</w:t>
      </w:r>
    </w:p>
    <w:p>
      <w:pPr>
        <w:spacing w:line="580" w:lineRule="exact"/>
        <w:ind w:firstLine="640" w:firstLineChars="200"/>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二、部门预算单位构成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kern w:val="2"/>
          <w:sz w:val="32"/>
          <w:szCs w:val="22"/>
          <w:highlight w:val="none"/>
          <w:lang w:val="en-US" w:eastAsia="zh-CN" w:bidi="ar-SA"/>
        </w:rPr>
      </w:pPr>
      <w:r>
        <w:rPr>
          <w:rFonts w:hint="eastAsia" w:ascii="Times New Roman" w:hAnsi="Times New Roman" w:eastAsia="仿宋_GB2312" w:cs="Times New Roman"/>
          <w:b w:val="0"/>
          <w:bCs/>
          <w:kern w:val="2"/>
          <w:sz w:val="32"/>
          <w:szCs w:val="22"/>
          <w:highlight w:val="none"/>
          <w:lang w:val="en-US" w:eastAsia="zh-CN" w:bidi="ar-SA"/>
        </w:rPr>
        <w:t>泸州市残疾人联合会</w:t>
      </w:r>
      <w:r>
        <w:rPr>
          <w:rFonts w:hint="default" w:ascii="Times New Roman" w:hAnsi="Times New Roman" w:eastAsia="仿宋_GB2312" w:cs="Times New Roman"/>
          <w:b w:val="0"/>
          <w:bCs/>
          <w:kern w:val="2"/>
          <w:sz w:val="32"/>
          <w:szCs w:val="22"/>
          <w:highlight w:val="none"/>
          <w:lang w:val="en-US" w:eastAsia="zh-CN" w:bidi="ar-SA"/>
        </w:rPr>
        <w:t>下属二级预算单位</w:t>
      </w:r>
      <w:r>
        <w:rPr>
          <w:rFonts w:hint="eastAsia" w:ascii="Times New Roman" w:hAnsi="Times New Roman" w:eastAsia="仿宋_GB2312" w:cs="Times New Roman"/>
          <w:b w:val="0"/>
          <w:bCs/>
          <w:kern w:val="2"/>
          <w:sz w:val="32"/>
          <w:szCs w:val="22"/>
          <w:highlight w:val="none"/>
          <w:lang w:val="en-US" w:eastAsia="zh-CN" w:bidi="ar-SA"/>
        </w:rPr>
        <w:t>3</w:t>
      </w:r>
      <w:r>
        <w:rPr>
          <w:rFonts w:hint="default" w:ascii="Times New Roman" w:hAnsi="Times New Roman" w:eastAsia="仿宋_GB2312" w:cs="Times New Roman"/>
          <w:b w:val="0"/>
          <w:bCs/>
          <w:kern w:val="2"/>
          <w:sz w:val="32"/>
          <w:szCs w:val="22"/>
          <w:highlight w:val="none"/>
          <w:lang w:val="en-US" w:eastAsia="zh-CN" w:bidi="ar-SA"/>
        </w:rPr>
        <w:t>个，其中行政单位</w:t>
      </w:r>
      <w:r>
        <w:rPr>
          <w:rFonts w:hint="eastAsia" w:ascii="Times New Roman" w:hAnsi="Times New Roman" w:eastAsia="仿宋_GB2312" w:cs="Times New Roman"/>
          <w:b w:val="0"/>
          <w:bCs/>
          <w:kern w:val="2"/>
          <w:sz w:val="32"/>
          <w:szCs w:val="22"/>
          <w:highlight w:val="none"/>
          <w:lang w:val="en-US" w:eastAsia="zh-CN" w:bidi="ar-SA"/>
        </w:rPr>
        <w:t>0</w:t>
      </w:r>
      <w:r>
        <w:rPr>
          <w:rFonts w:hint="default" w:ascii="Times New Roman" w:hAnsi="Times New Roman" w:eastAsia="仿宋_GB2312" w:cs="Times New Roman"/>
          <w:b w:val="0"/>
          <w:bCs/>
          <w:kern w:val="2"/>
          <w:sz w:val="32"/>
          <w:szCs w:val="22"/>
          <w:highlight w:val="none"/>
          <w:lang w:val="en-US" w:eastAsia="zh-CN" w:bidi="ar-SA"/>
        </w:rPr>
        <w:t>个，参照公务员法管理的事业单位</w:t>
      </w:r>
      <w:r>
        <w:rPr>
          <w:rFonts w:hint="eastAsia" w:ascii="Times New Roman" w:hAnsi="Times New Roman" w:eastAsia="仿宋_GB2312" w:cs="Times New Roman"/>
          <w:b w:val="0"/>
          <w:bCs/>
          <w:kern w:val="2"/>
          <w:sz w:val="32"/>
          <w:szCs w:val="22"/>
          <w:highlight w:val="none"/>
          <w:lang w:val="en-US" w:eastAsia="zh-CN" w:bidi="ar-SA"/>
        </w:rPr>
        <w:t>1</w:t>
      </w:r>
      <w:r>
        <w:rPr>
          <w:rFonts w:hint="default" w:ascii="Times New Roman" w:hAnsi="Times New Roman" w:eastAsia="仿宋_GB2312" w:cs="Times New Roman"/>
          <w:b w:val="0"/>
          <w:bCs/>
          <w:kern w:val="2"/>
          <w:sz w:val="32"/>
          <w:szCs w:val="22"/>
          <w:highlight w:val="none"/>
          <w:lang w:val="en-US" w:eastAsia="zh-CN" w:bidi="ar-SA"/>
        </w:rPr>
        <w:t xml:space="preserve">个，其他事业单位 </w:t>
      </w:r>
      <w:r>
        <w:rPr>
          <w:rFonts w:hint="eastAsia" w:ascii="Times New Roman" w:hAnsi="Times New Roman" w:eastAsia="仿宋_GB2312" w:cs="Times New Roman"/>
          <w:b w:val="0"/>
          <w:bCs/>
          <w:kern w:val="2"/>
          <w:sz w:val="32"/>
          <w:szCs w:val="22"/>
          <w:highlight w:val="none"/>
          <w:lang w:val="en-US" w:eastAsia="zh-CN" w:bidi="ar-SA"/>
        </w:rPr>
        <w:t>2</w:t>
      </w:r>
      <w:r>
        <w:rPr>
          <w:rFonts w:hint="default" w:ascii="Times New Roman" w:hAnsi="Times New Roman" w:eastAsia="仿宋_GB2312" w:cs="Times New Roman"/>
          <w:b w:val="0"/>
          <w:bCs/>
          <w:kern w:val="2"/>
          <w:sz w:val="32"/>
          <w:szCs w:val="22"/>
          <w:highlight w:val="none"/>
          <w:lang w:val="en-US" w:eastAsia="zh-CN" w:bidi="ar-SA"/>
        </w:rPr>
        <w:t>个。主要包括：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kern w:val="2"/>
          <w:sz w:val="32"/>
          <w:szCs w:val="22"/>
          <w:highlight w:val="none"/>
          <w:lang w:val="en-US" w:eastAsia="zh-CN" w:bidi="ar-SA"/>
        </w:rPr>
      </w:pPr>
    </w:p>
    <w:tbl>
      <w:tblPr>
        <w:tblStyle w:val="7"/>
        <w:tblW w:w="0" w:type="auto"/>
        <w:tblInd w:w="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val="0"/>
                <w:bCs/>
                <w:kern w:val="2"/>
                <w:sz w:val="32"/>
                <w:szCs w:val="22"/>
                <w:highlight w:val="none"/>
                <w:vertAlign w:val="baseline"/>
                <w:lang w:val="en-US" w:eastAsia="zh-CN" w:bidi="ar-SA"/>
              </w:rPr>
            </w:pPr>
            <w:r>
              <w:rPr>
                <w:rFonts w:hint="eastAsia" w:ascii="Times New Roman" w:hAnsi="Times New Roman" w:eastAsia="仿宋_GB2312" w:cs="Times New Roman"/>
                <w:b w:val="0"/>
                <w:bCs/>
                <w:kern w:val="2"/>
                <w:sz w:val="32"/>
                <w:szCs w:val="22"/>
                <w:highlight w:val="none"/>
                <w:vertAlign w:val="baseline"/>
                <w:lang w:val="en-US" w:eastAsia="zh-CN" w:bidi="ar-SA"/>
              </w:rPr>
              <w:t>序号</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val="0"/>
                <w:bCs/>
                <w:kern w:val="2"/>
                <w:sz w:val="32"/>
                <w:szCs w:val="22"/>
                <w:highlight w:val="none"/>
                <w:vertAlign w:val="baseline"/>
                <w:lang w:val="en-US" w:eastAsia="zh-CN" w:bidi="ar-SA"/>
              </w:rPr>
            </w:pPr>
            <w:r>
              <w:rPr>
                <w:rFonts w:hint="eastAsia" w:ascii="Times New Roman" w:hAnsi="Times New Roman" w:eastAsia="仿宋_GB2312" w:cs="Times New Roman"/>
                <w:b w:val="0"/>
                <w:bCs/>
                <w:kern w:val="2"/>
                <w:sz w:val="32"/>
                <w:szCs w:val="22"/>
                <w:highlight w:val="none"/>
                <w:vertAlign w:val="baseline"/>
                <w:lang w:val="en-US" w:eastAsia="zh-CN" w:bidi="ar-SA"/>
              </w:rPr>
              <w:t>预算单位名称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val="0"/>
                <w:bCs/>
                <w:kern w:val="2"/>
                <w:sz w:val="32"/>
                <w:szCs w:val="22"/>
                <w:highlight w:val="none"/>
                <w:vertAlign w:val="baseline"/>
                <w:lang w:val="en-US" w:eastAsia="zh-CN" w:bidi="ar-SA"/>
              </w:rPr>
            </w:pPr>
            <w:r>
              <w:rPr>
                <w:rFonts w:hint="eastAsia" w:ascii="Times New Roman" w:hAnsi="Times New Roman" w:eastAsia="仿宋_GB2312" w:cs="Times New Roman"/>
                <w:b w:val="0"/>
                <w:bCs/>
                <w:kern w:val="2"/>
                <w:sz w:val="32"/>
                <w:szCs w:val="22"/>
                <w:highlight w:val="none"/>
                <w:vertAlign w:val="baseline"/>
                <w:lang w:val="en-US" w:eastAsia="zh-CN" w:bidi="ar-SA"/>
              </w:rPr>
              <w:t>1</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val="0"/>
                <w:bCs/>
                <w:kern w:val="2"/>
                <w:sz w:val="32"/>
                <w:szCs w:val="22"/>
                <w:highlight w:val="none"/>
                <w:vertAlign w:val="baseline"/>
                <w:lang w:val="en-US" w:eastAsia="zh-CN" w:bidi="ar-SA"/>
              </w:rPr>
            </w:pPr>
            <w:r>
              <w:rPr>
                <w:rFonts w:hint="eastAsia" w:ascii="Times New Roman" w:hAnsi="Times New Roman" w:eastAsia="仿宋_GB2312" w:cs="Times New Roman"/>
                <w:b w:val="0"/>
                <w:bCs/>
                <w:kern w:val="2"/>
                <w:sz w:val="32"/>
                <w:szCs w:val="22"/>
                <w:highlight w:val="none"/>
                <w:vertAlign w:val="baseline"/>
                <w:lang w:val="en-US" w:eastAsia="zh-CN" w:bidi="ar-SA"/>
              </w:rPr>
              <w:t>泸州市残疾人联合会机关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val="0"/>
                <w:bCs/>
                <w:kern w:val="2"/>
                <w:sz w:val="32"/>
                <w:szCs w:val="22"/>
                <w:highlight w:val="none"/>
                <w:vertAlign w:val="baseline"/>
                <w:lang w:val="en-US" w:eastAsia="zh-CN" w:bidi="ar-SA"/>
              </w:rPr>
            </w:pPr>
            <w:r>
              <w:rPr>
                <w:rFonts w:hint="eastAsia" w:ascii="Times New Roman" w:hAnsi="Times New Roman" w:eastAsia="仿宋_GB2312" w:cs="Times New Roman"/>
                <w:b w:val="0"/>
                <w:bCs/>
                <w:kern w:val="2"/>
                <w:sz w:val="32"/>
                <w:szCs w:val="22"/>
                <w:highlight w:val="none"/>
                <w:vertAlign w:val="baseline"/>
                <w:lang w:val="en-US" w:eastAsia="zh-CN" w:bidi="ar-SA"/>
              </w:rPr>
              <w:t>2</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val="0"/>
                <w:bCs/>
                <w:kern w:val="2"/>
                <w:sz w:val="32"/>
                <w:szCs w:val="22"/>
                <w:highlight w:val="none"/>
                <w:vertAlign w:val="baseline"/>
                <w:lang w:val="en-US" w:eastAsia="zh-CN" w:bidi="ar-SA"/>
              </w:rPr>
            </w:pPr>
            <w:r>
              <w:rPr>
                <w:rFonts w:hint="eastAsia" w:ascii="Times New Roman" w:hAnsi="Times New Roman" w:eastAsia="仿宋_GB2312" w:cs="Times New Roman"/>
                <w:b w:val="0"/>
                <w:bCs/>
                <w:kern w:val="2"/>
                <w:sz w:val="32"/>
                <w:szCs w:val="22"/>
                <w:highlight w:val="none"/>
                <w:vertAlign w:val="baseline"/>
                <w:lang w:val="en-US" w:eastAsia="zh-CN" w:bidi="ar-SA"/>
              </w:rPr>
              <w:t>泸州市残疾人劳动就业服务所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val="0"/>
                <w:bCs/>
                <w:kern w:val="2"/>
                <w:sz w:val="32"/>
                <w:szCs w:val="22"/>
                <w:highlight w:val="none"/>
                <w:vertAlign w:val="baseline"/>
                <w:lang w:val="en-US" w:eastAsia="zh-CN" w:bidi="ar-SA"/>
              </w:rPr>
            </w:pPr>
            <w:r>
              <w:rPr>
                <w:rFonts w:hint="eastAsia" w:ascii="Times New Roman" w:hAnsi="Times New Roman" w:eastAsia="仿宋_GB2312" w:cs="Times New Roman"/>
                <w:b w:val="0"/>
                <w:bCs/>
                <w:kern w:val="2"/>
                <w:sz w:val="32"/>
                <w:szCs w:val="22"/>
                <w:highlight w:val="none"/>
                <w:vertAlign w:val="baseline"/>
                <w:lang w:val="en-US" w:eastAsia="zh-CN" w:bidi="ar-SA"/>
              </w:rPr>
              <w:t>3</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val="0"/>
                <w:bCs/>
                <w:kern w:val="2"/>
                <w:sz w:val="32"/>
                <w:szCs w:val="22"/>
                <w:highlight w:val="none"/>
                <w:vertAlign w:val="baseline"/>
                <w:lang w:val="en-US" w:eastAsia="zh-CN" w:bidi="ar-SA"/>
              </w:rPr>
            </w:pPr>
            <w:r>
              <w:rPr>
                <w:rFonts w:hint="eastAsia" w:ascii="Times New Roman" w:hAnsi="Times New Roman" w:eastAsia="仿宋_GB2312" w:cs="Times New Roman"/>
                <w:b w:val="0"/>
                <w:bCs/>
                <w:kern w:val="2"/>
                <w:sz w:val="32"/>
                <w:szCs w:val="22"/>
                <w:highlight w:val="none"/>
                <w:vertAlign w:val="baseline"/>
                <w:lang w:val="en-US" w:eastAsia="zh-CN" w:bidi="ar-SA"/>
              </w:rPr>
              <w:t>泸州市残疾人康复服务中心</w:t>
            </w:r>
          </w:p>
        </w:tc>
      </w:tr>
    </w:tbl>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kern w:val="2"/>
          <w:sz w:val="32"/>
          <w:szCs w:val="2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kern w:val="2"/>
          <w:sz w:val="32"/>
          <w:szCs w:val="2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简体" w:cs="Times New Roman"/>
          <w:b w:val="0"/>
          <w:bCs/>
          <w:sz w:val="48"/>
          <w:szCs w:val="48"/>
          <w:highlight w:val="none"/>
          <w:lang w:eastAsia="zh-CN"/>
        </w:rPr>
      </w:pPr>
      <w:r>
        <w:rPr>
          <w:rFonts w:hint="eastAsia" w:ascii="Times New Roman" w:hAnsi="Times New Roman" w:eastAsia="方正小标宋简体" w:cs="Times New Roman"/>
          <w:b w:val="0"/>
          <w:bCs/>
          <w:sz w:val="48"/>
          <w:szCs w:val="48"/>
          <w:highlight w:val="none"/>
          <w:lang w:eastAsia="zh-CN"/>
        </w:rPr>
        <w:t>第二部分</w:t>
      </w:r>
      <w:r>
        <w:rPr>
          <w:rFonts w:hint="eastAsia" w:ascii="Times New Roman" w:hAnsi="Times New Roman" w:eastAsia="方正小标宋简体" w:cs="Times New Roman"/>
          <w:b w:val="0"/>
          <w:bCs/>
          <w:sz w:val="48"/>
          <w:szCs w:val="48"/>
          <w:highlight w:val="none"/>
          <w:lang w:val="en-US" w:eastAsia="zh-CN"/>
        </w:rPr>
        <w:t xml:space="preserve">  泸州市残疾人联合会</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val="en-US" w:eastAsia="zh-CN"/>
        </w:rPr>
      </w:pPr>
      <w:r>
        <w:rPr>
          <w:rFonts w:hint="eastAsia" w:ascii="Times New Roman" w:hAnsi="Times New Roman" w:eastAsia="方正小标宋简体" w:cs="Times New Roman"/>
          <w:b w:val="0"/>
          <w:bCs/>
          <w:sz w:val="48"/>
          <w:szCs w:val="48"/>
          <w:highlight w:val="none"/>
          <w:lang w:val="en-US" w:eastAsia="zh-CN"/>
        </w:rPr>
        <w:t>2024年部门预算情况说明</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简体" w:cs="Times New Roman"/>
          <w:b w:val="0"/>
          <w:bCs/>
          <w:sz w:val="48"/>
          <w:szCs w:val="48"/>
          <w:highlight w:val="none"/>
          <w:lang w:val="en-US"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lang w:eastAsia="zh-CN"/>
        </w:rPr>
        <w:t>、收支预算情况说明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按照综合预算的原则，泸州市残疾人联合会所有收入和支出均纳入单位预算管理。收入包括：一般公共预算拨款收入；支出包括：社会保障和就业支出、卫生健康支出、住房保障支出。泸州市残疾人联合会</w:t>
      </w:r>
      <w:r>
        <w:rPr>
          <w:rFonts w:hint="eastAsia" w:ascii="Times New Roman" w:hAnsi="Times New Roman" w:eastAsia="仿宋_GB2312" w:cs="Times New Roman"/>
          <w:b w:val="0"/>
          <w:bCs/>
          <w:sz w:val="32"/>
          <w:szCs w:val="32"/>
          <w:highlight w:val="none"/>
          <w:lang w:val="en-US" w:eastAsia="zh-CN"/>
        </w:rPr>
        <w:t>2024</w:t>
      </w:r>
      <w:r>
        <w:rPr>
          <w:rFonts w:hint="default" w:ascii="Times New Roman" w:hAnsi="Times New Roman" w:eastAsia="仿宋_GB2312" w:cs="Times New Roman"/>
          <w:b w:val="0"/>
          <w:bCs/>
          <w:sz w:val="32"/>
          <w:szCs w:val="32"/>
          <w:highlight w:val="none"/>
          <w:lang w:val="en-US" w:eastAsia="zh-CN"/>
        </w:rPr>
        <w:t>年收支预算总数</w:t>
      </w:r>
      <w:r>
        <w:rPr>
          <w:rFonts w:hint="eastAsia" w:ascii="Times New Roman" w:hAnsi="Times New Roman" w:eastAsia="仿宋_GB2312" w:cs="Times New Roman"/>
          <w:b w:val="0"/>
          <w:bCs/>
          <w:sz w:val="32"/>
          <w:szCs w:val="32"/>
          <w:highlight w:val="none"/>
          <w:lang w:val="en-US" w:eastAsia="zh-CN"/>
        </w:rPr>
        <w:t>3094.05</w:t>
      </w:r>
      <w:r>
        <w:rPr>
          <w:rFonts w:hint="default" w:ascii="Times New Roman" w:hAnsi="Times New Roman" w:eastAsia="仿宋_GB2312" w:cs="Times New Roman"/>
          <w:b w:val="0"/>
          <w:bCs/>
          <w:sz w:val="32"/>
          <w:szCs w:val="32"/>
          <w:highlight w:val="none"/>
          <w:lang w:val="en-US" w:eastAsia="zh-CN"/>
        </w:rPr>
        <w:t>万元，比202</w:t>
      </w:r>
      <w:r>
        <w:rPr>
          <w:rFonts w:hint="eastAsia" w:ascii="Times New Roman" w:hAnsi="Times New Roman" w:eastAsia="仿宋_GB2312" w:cs="Times New Roman"/>
          <w:b w:val="0"/>
          <w:bCs/>
          <w:sz w:val="32"/>
          <w:szCs w:val="32"/>
          <w:highlight w:val="none"/>
          <w:lang w:val="en-US" w:eastAsia="zh-CN"/>
        </w:rPr>
        <w:t>3年</w:t>
      </w:r>
      <w:r>
        <w:rPr>
          <w:rFonts w:hint="default" w:ascii="Times New Roman" w:hAnsi="Times New Roman" w:eastAsia="仿宋_GB2312" w:cs="Times New Roman"/>
          <w:b w:val="0"/>
          <w:bCs/>
          <w:sz w:val="32"/>
          <w:szCs w:val="32"/>
          <w:highlight w:val="none"/>
          <w:lang w:val="en-US" w:eastAsia="zh-CN"/>
        </w:rPr>
        <w:t>收支预算总数</w:t>
      </w:r>
      <w:r>
        <w:rPr>
          <w:rFonts w:hint="eastAsia" w:ascii="Times New Roman" w:hAnsi="Times New Roman" w:eastAsia="仿宋_GB2312" w:cs="Times New Roman"/>
          <w:b w:val="0"/>
          <w:bCs/>
          <w:sz w:val="32"/>
          <w:szCs w:val="32"/>
          <w:highlight w:val="none"/>
          <w:lang w:val="en-US" w:eastAsia="zh-CN"/>
        </w:rPr>
        <w:t>减少145.93</w:t>
      </w:r>
      <w:r>
        <w:rPr>
          <w:rFonts w:hint="default" w:ascii="Times New Roman" w:hAnsi="Times New Roman" w:eastAsia="仿宋_GB2312" w:cs="Times New Roman"/>
          <w:b w:val="0"/>
          <w:bCs/>
          <w:sz w:val="32"/>
          <w:szCs w:val="32"/>
          <w:highlight w:val="none"/>
          <w:lang w:val="en-US" w:eastAsia="zh-CN"/>
        </w:rPr>
        <w:t>万元，主要原因：</w:t>
      </w:r>
      <w:r>
        <w:rPr>
          <w:rFonts w:hint="eastAsia" w:ascii="Times New Roman" w:hAnsi="Times New Roman" w:eastAsia="仿宋_GB2312" w:cs="Times New Roman"/>
          <w:b w:val="0"/>
          <w:bCs/>
          <w:sz w:val="32"/>
          <w:szCs w:val="32"/>
          <w:highlight w:val="none"/>
          <w:lang w:val="en-US" w:eastAsia="zh-CN"/>
        </w:rPr>
        <w:t>一是</w:t>
      </w:r>
      <w:r>
        <w:rPr>
          <w:rFonts w:hint="default" w:ascii="Times New Roman" w:hAnsi="Times New Roman" w:eastAsia="仿宋_GB2312" w:cs="Times New Roman"/>
          <w:b w:val="0"/>
          <w:bCs/>
          <w:sz w:val="32"/>
          <w:szCs w:val="32"/>
          <w:highlight w:val="none"/>
          <w:lang w:val="en-US" w:eastAsia="zh-CN"/>
        </w:rPr>
        <w:t>202</w:t>
      </w:r>
      <w:r>
        <w:rPr>
          <w:rFonts w:hint="eastAsia"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val="en-US" w:eastAsia="zh-CN"/>
        </w:rPr>
        <w:t>年部门财政拨款收支预算中安</w:t>
      </w:r>
      <w:r>
        <w:rPr>
          <w:rFonts w:hint="eastAsia" w:ascii="Times New Roman" w:hAnsi="Times New Roman" w:eastAsia="仿宋_GB2312" w:cs="Times New Roman"/>
          <w:b w:val="0"/>
          <w:bCs/>
          <w:sz w:val="32"/>
          <w:szCs w:val="32"/>
          <w:highlight w:val="none"/>
          <w:lang w:val="en-US" w:eastAsia="zh-CN"/>
        </w:rPr>
        <w:t>排了励志文化广场提升改造项目一次性项目，2024年未作安排。二</w:t>
      </w:r>
      <w:r>
        <w:rPr>
          <w:rFonts w:hint="default" w:ascii="Times New Roman" w:hAnsi="Times New Roman" w:eastAsia="仿宋_GB2312" w:cs="Times New Roman"/>
          <w:b w:val="0"/>
          <w:bCs/>
          <w:sz w:val="32"/>
          <w:szCs w:val="32"/>
          <w:highlight w:val="none"/>
          <w:lang w:val="en-US" w:eastAsia="zh-CN"/>
        </w:rPr>
        <w:t>是</w:t>
      </w:r>
      <w:r>
        <w:rPr>
          <w:rFonts w:hint="eastAsia" w:ascii="Times New Roman" w:hAnsi="Times New Roman" w:eastAsia="仿宋_GB2312" w:cs="Times New Roman"/>
          <w:b w:val="0"/>
          <w:bCs/>
          <w:sz w:val="32"/>
          <w:szCs w:val="32"/>
          <w:highlight w:val="none"/>
          <w:lang w:val="en-US" w:eastAsia="zh-CN"/>
        </w:rPr>
        <w:t>市残联机关</w:t>
      </w:r>
      <w:r>
        <w:rPr>
          <w:rFonts w:hint="default" w:ascii="Times New Roman" w:hAnsi="Times New Roman" w:eastAsia="仿宋_GB2312" w:cs="Times New Roman"/>
          <w:b w:val="0"/>
          <w:bCs/>
          <w:sz w:val="32"/>
          <w:szCs w:val="32"/>
          <w:highlight w:val="none"/>
          <w:lang w:val="en-US" w:eastAsia="zh-CN"/>
        </w:rPr>
        <w:t>“圆梦助学工程”项目依据202</w:t>
      </w:r>
      <w:r>
        <w:rPr>
          <w:rFonts w:hint="eastAsia"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val="en-US" w:eastAsia="zh-CN"/>
        </w:rPr>
        <w:t>年实际支出数增加预算</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“残疾人宣传文化”项目增加参加四川省残疾人文化艺术节预算</w:t>
      </w:r>
      <w:r>
        <w:rPr>
          <w:rFonts w:hint="eastAsia" w:ascii="Times New Roman" w:hAnsi="Times New Roman" w:eastAsia="仿宋_GB2312" w:cs="Times New Roman"/>
          <w:b w:val="0"/>
          <w:bCs/>
          <w:sz w:val="32"/>
          <w:szCs w:val="32"/>
          <w:highlight w:val="none"/>
          <w:lang w:val="en-US" w:eastAsia="zh-CN"/>
        </w:rPr>
        <w:t>；三是市残疾人劳动就业所增加就业创业扶持经费</w:t>
      </w:r>
      <w:r>
        <w:rPr>
          <w:rFonts w:hint="default" w:ascii="Times New Roman" w:hAnsi="Times New Roman" w:eastAsia="仿宋_GB2312" w:cs="Times New Roman"/>
          <w:b w:val="0"/>
          <w:bCs/>
          <w:sz w:val="32"/>
          <w:szCs w:val="32"/>
          <w:highlight w:val="none"/>
          <w:lang w:val="en-US" w:eastAsia="zh-CN"/>
        </w:rPr>
        <w:t>。</w:t>
      </w:r>
    </w:p>
    <w:p>
      <w:pPr>
        <w:pStyle w:val="2"/>
        <w:adjustRightInd w:val="0"/>
        <w:spacing w:before="130" w:line="580" w:lineRule="exact"/>
        <w:ind w:firstLine="675" w:firstLineChars="210"/>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（一）收入预算情况</w:t>
      </w:r>
    </w:p>
    <w:p>
      <w:pPr>
        <w:pStyle w:val="2"/>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泸州市残疾人联合会2024</w:t>
      </w:r>
      <w:r>
        <w:rPr>
          <w:rFonts w:hint="default" w:ascii="Times New Roman" w:hAnsi="Times New Roman" w:eastAsia="仿宋_GB2312" w:cs="Times New Roman"/>
          <w:b w:val="0"/>
          <w:bCs/>
          <w:sz w:val="32"/>
          <w:szCs w:val="32"/>
          <w:highlight w:val="none"/>
          <w:lang w:eastAsia="zh-CN"/>
        </w:rPr>
        <w:t>年收入预算</w:t>
      </w:r>
      <w:r>
        <w:rPr>
          <w:rFonts w:hint="eastAsia" w:ascii="Times New Roman" w:hAnsi="Times New Roman" w:cs="Times New Roman"/>
          <w:b w:val="0"/>
          <w:bCs/>
          <w:sz w:val="32"/>
          <w:szCs w:val="32"/>
          <w:highlight w:val="none"/>
          <w:lang w:val="en-US" w:eastAsia="zh-CN"/>
        </w:rPr>
        <w:t>3094.05</w:t>
      </w:r>
      <w:r>
        <w:rPr>
          <w:rFonts w:hint="default" w:ascii="Times New Roman" w:hAnsi="Times New Roman" w:eastAsia="仿宋_GB2312" w:cs="Times New Roman"/>
          <w:b w:val="0"/>
          <w:bCs/>
          <w:sz w:val="32"/>
          <w:szCs w:val="32"/>
          <w:highlight w:val="none"/>
          <w:lang w:eastAsia="zh-CN"/>
        </w:rPr>
        <w:t>万元，其中：上年结转</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%；一般公共预算拨款收入</w:t>
      </w:r>
      <w:r>
        <w:rPr>
          <w:rFonts w:hint="eastAsia" w:ascii="Times New Roman" w:hAnsi="Times New Roman" w:cs="Times New Roman"/>
          <w:b w:val="0"/>
          <w:bCs/>
          <w:sz w:val="32"/>
          <w:szCs w:val="32"/>
          <w:highlight w:val="none"/>
          <w:lang w:val="en-US" w:eastAsia="zh-CN"/>
        </w:rPr>
        <w:t>3094.05</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100</w:t>
      </w:r>
      <w:r>
        <w:rPr>
          <w:rFonts w:hint="default" w:ascii="Times New Roman" w:hAnsi="Times New Roman" w:eastAsia="仿宋_GB2312" w:cs="Times New Roman"/>
          <w:b w:val="0"/>
          <w:bCs/>
          <w:sz w:val="32"/>
          <w:szCs w:val="32"/>
          <w:highlight w:val="none"/>
          <w:lang w:eastAsia="zh-CN"/>
        </w:rPr>
        <w:t>%；政府性基金预算拨款收入</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%；事业收入</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w:t>
      </w:r>
    </w:p>
    <w:p>
      <w:pPr>
        <w:pStyle w:val="2"/>
        <w:adjustRightInd w:val="0"/>
        <w:spacing w:before="130" w:line="580" w:lineRule="exact"/>
        <w:ind w:firstLine="675" w:firstLineChars="210"/>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（二）支出预算情况</w:t>
      </w:r>
    </w:p>
    <w:p>
      <w:pPr>
        <w:pStyle w:val="2"/>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泸州市残疾人联合会2024</w:t>
      </w:r>
      <w:r>
        <w:rPr>
          <w:rFonts w:hint="default" w:ascii="Times New Roman" w:hAnsi="Times New Roman" w:eastAsia="仿宋_GB2312" w:cs="Times New Roman"/>
          <w:b w:val="0"/>
          <w:bCs/>
          <w:sz w:val="32"/>
          <w:szCs w:val="32"/>
          <w:highlight w:val="none"/>
          <w:lang w:eastAsia="zh-CN"/>
        </w:rPr>
        <w:t>年支出预算</w:t>
      </w:r>
      <w:r>
        <w:rPr>
          <w:rFonts w:hint="eastAsia" w:ascii="Times New Roman" w:hAnsi="Times New Roman" w:cs="Times New Roman"/>
          <w:b w:val="0"/>
          <w:bCs/>
          <w:sz w:val="32"/>
          <w:szCs w:val="32"/>
          <w:highlight w:val="none"/>
          <w:lang w:val="en-US" w:eastAsia="zh-CN"/>
        </w:rPr>
        <w:t>3094.05</w:t>
      </w:r>
      <w:r>
        <w:rPr>
          <w:rFonts w:hint="default" w:ascii="Times New Roman" w:hAnsi="Times New Roman" w:eastAsia="仿宋_GB2312" w:cs="Times New Roman"/>
          <w:b w:val="0"/>
          <w:bCs/>
          <w:sz w:val="32"/>
          <w:szCs w:val="32"/>
          <w:highlight w:val="none"/>
          <w:lang w:eastAsia="zh-CN"/>
        </w:rPr>
        <w:t>万元，其中：基本支出836.55万元，占</w:t>
      </w:r>
      <w:r>
        <w:rPr>
          <w:rFonts w:hint="eastAsia" w:ascii="Times New Roman" w:hAnsi="Times New Roman" w:cs="Times New Roman"/>
          <w:b w:val="0"/>
          <w:bCs/>
          <w:sz w:val="32"/>
          <w:szCs w:val="32"/>
          <w:highlight w:val="none"/>
          <w:lang w:val="en-US" w:eastAsia="zh-CN"/>
        </w:rPr>
        <w:t>27.04</w:t>
      </w:r>
      <w:r>
        <w:rPr>
          <w:rFonts w:hint="default" w:ascii="Times New Roman" w:hAnsi="Times New Roman" w:eastAsia="仿宋_GB2312" w:cs="Times New Roman"/>
          <w:b w:val="0"/>
          <w:bCs/>
          <w:sz w:val="32"/>
          <w:szCs w:val="32"/>
          <w:highlight w:val="none"/>
          <w:lang w:eastAsia="zh-CN"/>
        </w:rPr>
        <w:t>%；项目支出2257.5万元，占</w:t>
      </w:r>
      <w:r>
        <w:rPr>
          <w:rFonts w:hint="eastAsia" w:ascii="Times New Roman" w:hAnsi="Times New Roman" w:cs="Times New Roman"/>
          <w:b w:val="0"/>
          <w:bCs/>
          <w:sz w:val="32"/>
          <w:szCs w:val="32"/>
          <w:highlight w:val="none"/>
          <w:lang w:val="en-US" w:eastAsia="zh-CN"/>
        </w:rPr>
        <w:t>72.96</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w:t>
      </w:r>
    </w:p>
    <w:p>
      <w:pPr>
        <w:spacing w:line="580" w:lineRule="exact"/>
        <w:ind w:firstLine="640" w:firstLineChars="200"/>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、财政拨款收支预算情况说明</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泸州市残疾人联合会2024</w:t>
      </w:r>
      <w:r>
        <w:rPr>
          <w:rFonts w:hint="default" w:ascii="Times New Roman" w:hAnsi="Times New Roman" w:eastAsia="仿宋_GB2312" w:cs="Times New Roman"/>
          <w:b w:val="0"/>
          <w:bCs/>
          <w:sz w:val="32"/>
          <w:szCs w:val="32"/>
          <w:highlight w:val="none"/>
          <w:lang w:eastAsia="zh-CN"/>
        </w:rPr>
        <w:t>年财政拨款收支总预算</w:t>
      </w:r>
      <w:r>
        <w:rPr>
          <w:rFonts w:hint="eastAsia" w:ascii="Times New Roman" w:hAnsi="Times New Roman" w:cs="Times New Roman"/>
          <w:b w:val="0"/>
          <w:bCs/>
          <w:sz w:val="32"/>
          <w:szCs w:val="32"/>
          <w:highlight w:val="none"/>
          <w:lang w:val="en-US" w:eastAsia="zh-CN"/>
        </w:rPr>
        <w:t>3094.05</w:t>
      </w:r>
      <w:r>
        <w:rPr>
          <w:rFonts w:hint="default" w:ascii="Times New Roman" w:hAnsi="Times New Roman" w:eastAsia="仿宋_GB2312" w:cs="Times New Roman"/>
          <w:b w:val="0"/>
          <w:bCs/>
          <w:sz w:val="32"/>
          <w:szCs w:val="32"/>
          <w:highlight w:val="none"/>
          <w:lang w:eastAsia="zh-CN"/>
        </w:rPr>
        <w:t>万元</w:t>
      </w:r>
      <w:r>
        <w:rPr>
          <w:rFonts w:hint="eastAsia" w:ascii="Times New Roman" w:hAnsi="Times New Roman"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比202</w:t>
      </w:r>
      <w:r>
        <w:rPr>
          <w:rFonts w:hint="eastAsia" w:ascii="Times New Roman" w:hAnsi="Times New Roman"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eastAsia="zh-CN"/>
        </w:rPr>
        <w:t>年财政拨款收支总预算</w:t>
      </w:r>
      <w:r>
        <w:rPr>
          <w:rFonts w:hint="eastAsia" w:ascii="Times New Roman" w:hAnsi="Times New Roman" w:cs="Times New Roman"/>
          <w:b w:val="0"/>
          <w:bCs/>
          <w:sz w:val="32"/>
          <w:szCs w:val="32"/>
          <w:highlight w:val="none"/>
          <w:lang w:eastAsia="zh-CN"/>
        </w:rPr>
        <w:t>减少</w:t>
      </w:r>
      <w:r>
        <w:rPr>
          <w:rFonts w:hint="eastAsia" w:ascii="Times New Roman" w:hAnsi="Times New Roman" w:cs="Times New Roman"/>
          <w:b w:val="0"/>
          <w:bCs/>
          <w:sz w:val="32"/>
          <w:szCs w:val="32"/>
          <w:highlight w:val="none"/>
          <w:lang w:val="en-US" w:eastAsia="zh-CN"/>
        </w:rPr>
        <w:t>145.92</w:t>
      </w:r>
      <w:r>
        <w:rPr>
          <w:rFonts w:hint="default" w:ascii="Times New Roman" w:hAnsi="Times New Roman" w:eastAsia="仿宋_GB2312" w:cs="Times New Roman"/>
          <w:b w:val="0"/>
          <w:bCs/>
          <w:sz w:val="32"/>
          <w:szCs w:val="32"/>
          <w:highlight w:val="none"/>
          <w:lang w:eastAsia="zh-CN"/>
        </w:rPr>
        <w:t>万元，主要原因：一是2023年部门财政拨款收支预算中安排了励志文化广场提升改造项目一次性项目，</w:t>
      </w:r>
      <w:r>
        <w:rPr>
          <w:rFonts w:hint="eastAsia" w:ascii="Times New Roman" w:hAnsi="Times New Roman" w:cs="Times New Roman"/>
          <w:b w:val="0"/>
          <w:bCs/>
          <w:sz w:val="32"/>
          <w:szCs w:val="32"/>
          <w:highlight w:val="none"/>
          <w:lang w:val="en-US" w:eastAsia="zh-CN"/>
        </w:rPr>
        <w:t>2024</w:t>
      </w:r>
      <w:r>
        <w:rPr>
          <w:rFonts w:hint="default" w:ascii="Times New Roman" w:hAnsi="Times New Roman" w:eastAsia="仿宋_GB2312" w:cs="Times New Roman"/>
          <w:b w:val="0"/>
          <w:bCs/>
          <w:sz w:val="32"/>
          <w:szCs w:val="32"/>
          <w:highlight w:val="none"/>
          <w:lang w:eastAsia="zh-CN"/>
        </w:rPr>
        <w:t>年未作安排。二是市残联机关“圆梦助学工程”项目依据2023年实际支出数增加预算，“残疾人宣传文化”项目增加参加四川省残疾人文化艺术节预算；三是市残疾人劳动就业所增加就业创业扶持经费。</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收入包括：本年一般公共预算拨款收入</w:t>
      </w:r>
      <w:r>
        <w:rPr>
          <w:rFonts w:hint="eastAsia" w:ascii="Times New Roman" w:hAnsi="Times New Roman" w:cs="Times New Roman"/>
          <w:b w:val="0"/>
          <w:bCs/>
          <w:sz w:val="32"/>
          <w:szCs w:val="32"/>
          <w:highlight w:val="none"/>
          <w:lang w:val="en-US" w:eastAsia="zh-CN"/>
        </w:rPr>
        <w:t>3094.05</w:t>
      </w:r>
      <w:r>
        <w:rPr>
          <w:rFonts w:hint="default" w:ascii="Times New Roman" w:hAnsi="Times New Roman" w:eastAsia="仿宋_GB2312" w:cs="Times New Roman"/>
          <w:b w:val="0"/>
          <w:bCs/>
          <w:sz w:val="32"/>
          <w:szCs w:val="32"/>
          <w:highlight w:val="none"/>
          <w:lang w:eastAsia="zh-CN"/>
        </w:rPr>
        <w:t>万元、本年政府性基金预算拨款收入0万元；支出包括：社会保障和就业支出2994.1万元、卫生健康支出41.9万元、住房保障支出58.05万元。</w:t>
      </w:r>
    </w:p>
    <w:p>
      <w:pPr>
        <w:spacing w:line="580" w:lineRule="exact"/>
        <w:ind w:firstLine="640" w:firstLineChars="200"/>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、一般公共预算当年拨款情况说明</w:t>
      </w:r>
    </w:p>
    <w:p>
      <w:pPr>
        <w:pStyle w:val="2"/>
        <w:adjustRightInd w:val="0"/>
        <w:spacing w:before="130" w:line="580" w:lineRule="exact"/>
        <w:ind w:firstLine="675" w:firstLineChars="210"/>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（一）一般公共预算当年拨款规模变化情况</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泸州市残疾人联合会2024</w:t>
      </w:r>
      <w:r>
        <w:rPr>
          <w:rFonts w:hint="default" w:ascii="Times New Roman" w:hAnsi="Times New Roman" w:eastAsia="仿宋_GB2312" w:cs="Times New Roman"/>
          <w:b w:val="0"/>
          <w:bCs/>
          <w:sz w:val="32"/>
          <w:szCs w:val="32"/>
          <w:highlight w:val="none"/>
          <w:lang w:eastAsia="zh-CN"/>
        </w:rPr>
        <w:t>年一般公共预算当年拨款</w:t>
      </w:r>
      <w:r>
        <w:rPr>
          <w:rFonts w:hint="eastAsia" w:ascii="Times New Roman" w:hAnsi="Times New Roman" w:cs="Times New Roman"/>
          <w:b w:val="0"/>
          <w:bCs/>
          <w:sz w:val="32"/>
          <w:szCs w:val="32"/>
          <w:highlight w:val="none"/>
          <w:lang w:val="en-US" w:eastAsia="zh-CN"/>
        </w:rPr>
        <w:t>3094.05</w:t>
      </w:r>
      <w:r>
        <w:rPr>
          <w:rFonts w:hint="default" w:ascii="Times New Roman" w:hAnsi="Times New Roman" w:eastAsia="仿宋_GB2312" w:cs="Times New Roman"/>
          <w:b w:val="0"/>
          <w:bCs/>
          <w:sz w:val="32"/>
          <w:szCs w:val="32"/>
          <w:highlight w:val="none"/>
          <w:lang w:eastAsia="zh-CN"/>
        </w:rPr>
        <w:t>万元，比202</w:t>
      </w:r>
      <w:r>
        <w:rPr>
          <w:rFonts w:hint="eastAsia" w:ascii="Times New Roman" w:hAnsi="Times New Roman"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eastAsia="zh-CN"/>
        </w:rPr>
        <w:t>年预算数</w:t>
      </w:r>
      <w:r>
        <w:rPr>
          <w:rFonts w:hint="eastAsia" w:ascii="Times New Roman" w:hAnsi="Times New Roman" w:cs="Times New Roman"/>
          <w:b w:val="0"/>
          <w:bCs/>
          <w:sz w:val="32"/>
          <w:szCs w:val="32"/>
          <w:highlight w:val="none"/>
          <w:lang w:eastAsia="zh-CN"/>
        </w:rPr>
        <w:t>减少</w:t>
      </w:r>
      <w:r>
        <w:rPr>
          <w:rFonts w:hint="eastAsia" w:ascii="Times New Roman" w:hAnsi="Times New Roman" w:cs="Times New Roman"/>
          <w:b w:val="0"/>
          <w:bCs/>
          <w:sz w:val="32"/>
          <w:szCs w:val="32"/>
          <w:highlight w:val="none"/>
          <w:lang w:val="en-US" w:eastAsia="zh-CN"/>
        </w:rPr>
        <w:t>145.92</w:t>
      </w:r>
      <w:r>
        <w:rPr>
          <w:rFonts w:hint="default" w:ascii="Times New Roman" w:hAnsi="Times New Roman" w:eastAsia="仿宋_GB2312" w:cs="Times New Roman"/>
          <w:b w:val="0"/>
          <w:bCs/>
          <w:sz w:val="32"/>
          <w:szCs w:val="32"/>
          <w:highlight w:val="none"/>
          <w:lang w:eastAsia="zh-CN"/>
        </w:rPr>
        <w:t>万元，主要原因</w:t>
      </w:r>
      <w:r>
        <w:rPr>
          <w:rFonts w:hint="eastAsia" w:ascii="Times New Roman" w:hAnsi="Times New Roman"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主要原因：一是2023年部门财政拨款收支预算中安排了励志文化广场提升改造项目一次性项目，</w:t>
      </w:r>
      <w:r>
        <w:rPr>
          <w:rFonts w:hint="eastAsia" w:ascii="Times New Roman" w:hAnsi="Times New Roman" w:cs="Times New Roman"/>
          <w:b w:val="0"/>
          <w:bCs/>
          <w:sz w:val="32"/>
          <w:szCs w:val="32"/>
          <w:highlight w:val="none"/>
          <w:lang w:val="en-US" w:eastAsia="zh-CN"/>
        </w:rPr>
        <w:t>2024</w:t>
      </w:r>
      <w:r>
        <w:rPr>
          <w:rFonts w:hint="default" w:ascii="Times New Roman" w:hAnsi="Times New Roman" w:eastAsia="仿宋_GB2312" w:cs="Times New Roman"/>
          <w:b w:val="0"/>
          <w:bCs/>
          <w:sz w:val="32"/>
          <w:szCs w:val="32"/>
          <w:highlight w:val="none"/>
          <w:lang w:eastAsia="zh-CN"/>
        </w:rPr>
        <w:t>年未作安排。二是市残联机关“圆梦助学工程”项目依据2023年实际支出数增加预算，“残疾人宣传文化”项目增加参加四川省残疾人文化艺术节预算；三是市残疾人劳动就业所增加就业创业扶持经费。</w:t>
      </w:r>
    </w:p>
    <w:p>
      <w:pPr>
        <w:pStyle w:val="2"/>
        <w:adjustRightInd w:val="0"/>
        <w:spacing w:before="130" w:line="580" w:lineRule="exact"/>
        <w:ind w:firstLine="675" w:firstLineChars="210"/>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（二）一般公共预算当年拨款结构情况</w:t>
      </w:r>
    </w:p>
    <w:p>
      <w:pPr>
        <w:pStyle w:val="2"/>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val="en-US" w:eastAsia="zh-CN" w:bidi="ar-SA"/>
        </w:rPr>
      </w:pPr>
      <w:r>
        <w:rPr>
          <w:rFonts w:hint="default" w:ascii="Times New Roman" w:hAnsi="Times New Roman" w:eastAsia="仿宋_GB2312" w:cs="Times New Roman"/>
          <w:b w:val="0"/>
          <w:bCs/>
          <w:sz w:val="32"/>
          <w:szCs w:val="32"/>
          <w:highlight w:val="none"/>
          <w:lang w:val="en-US" w:eastAsia="zh-CN" w:bidi="ar-SA"/>
        </w:rPr>
        <w:t>社会保障和就业支出</w:t>
      </w:r>
      <w:r>
        <w:rPr>
          <w:rFonts w:hint="eastAsia" w:ascii="Times New Roman" w:hAnsi="Times New Roman" w:cs="Times New Roman"/>
          <w:b w:val="0"/>
          <w:bCs/>
          <w:sz w:val="32"/>
          <w:szCs w:val="32"/>
          <w:highlight w:val="none"/>
          <w:lang w:val="en-US" w:eastAsia="zh-CN" w:bidi="ar-SA"/>
        </w:rPr>
        <w:t>2994.1</w:t>
      </w:r>
      <w:r>
        <w:rPr>
          <w:rFonts w:hint="default" w:ascii="Times New Roman" w:hAnsi="Times New Roman" w:eastAsia="仿宋_GB2312" w:cs="Times New Roman"/>
          <w:b w:val="0"/>
          <w:bCs/>
          <w:sz w:val="32"/>
          <w:szCs w:val="32"/>
          <w:highlight w:val="none"/>
          <w:lang w:val="en-US" w:eastAsia="zh-CN" w:bidi="ar-SA"/>
        </w:rPr>
        <w:t>万元，占</w:t>
      </w:r>
      <w:r>
        <w:rPr>
          <w:rFonts w:hint="eastAsia" w:ascii="Times New Roman" w:hAnsi="Times New Roman" w:cs="Times New Roman"/>
          <w:b w:val="0"/>
          <w:bCs/>
          <w:sz w:val="32"/>
          <w:szCs w:val="32"/>
          <w:highlight w:val="none"/>
          <w:lang w:val="en-US" w:eastAsia="zh-CN" w:bidi="ar-SA"/>
        </w:rPr>
        <w:t>96.77</w:t>
      </w:r>
      <w:r>
        <w:rPr>
          <w:rFonts w:hint="default" w:ascii="Times New Roman" w:hAnsi="Times New Roman" w:eastAsia="仿宋_GB2312" w:cs="Times New Roman"/>
          <w:b w:val="0"/>
          <w:bCs/>
          <w:sz w:val="32"/>
          <w:szCs w:val="32"/>
          <w:highlight w:val="none"/>
          <w:lang w:val="en-US" w:eastAsia="zh-CN" w:bidi="ar-SA"/>
        </w:rPr>
        <w:t>%；卫生健康支出</w:t>
      </w:r>
      <w:r>
        <w:rPr>
          <w:rFonts w:hint="default" w:ascii="Times New Roman" w:hAnsi="Times New Roman" w:eastAsia="仿宋_GB2312" w:cs="Times New Roman"/>
          <w:b w:val="0"/>
          <w:bCs/>
          <w:sz w:val="32"/>
          <w:szCs w:val="32"/>
          <w:highlight w:val="none"/>
          <w:lang w:eastAsia="zh-CN"/>
        </w:rPr>
        <w:t>41.9</w:t>
      </w:r>
      <w:r>
        <w:rPr>
          <w:rFonts w:hint="default" w:ascii="Times New Roman" w:hAnsi="Times New Roman" w:eastAsia="仿宋_GB2312" w:cs="Times New Roman"/>
          <w:b w:val="0"/>
          <w:bCs/>
          <w:sz w:val="32"/>
          <w:szCs w:val="32"/>
          <w:highlight w:val="none"/>
          <w:lang w:val="en-US" w:eastAsia="zh-CN" w:bidi="ar-SA"/>
        </w:rPr>
        <w:t>万元，占</w:t>
      </w:r>
      <w:r>
        <w:rPr>
          <w:rFonts w:hint="eastAsia" w:ascii="Times New Roman" w:hAnsi="Times New Roman" w:cs="Times New Roman"/>
          <w:b w:val="0"/>
          <w:bCs/>
          <w:sz w:val="32"/>
          <w:szCs w:val="32"/>
          <w:highlight w:val="none"/>
          <w:lang w:val="en-US" w:eastAsia="zh-CN" w:bidi="ar-SA"/>
        </w:rPr>
        <w:t>1.35</w:t>
      </w:r>
      <w:r>
        <w:rPr>
          <w:rFonts w:hint="default" w:ascii="Times New Roman" w:hAnsi="Times New Roman" w:eastAsia="仿宋_GB2312" w:cs="Times New Roman"/>
          <w:b w:val="0"/>
          <w:bCs/>
          <w:sz w:val="32"/>
          <w:szCs w:val="32"/>
          <w:highlight w:val="none"/>
          <w:lang w:val="en-US" w:eastAsia="zh-CN" w:bidi="ar-SA"/>
        </w:rPr>
        <w:t>%；住房保障支出</w:t>
      </w:r>
      <w:r>
        <w:rPr>
          <w:rFonts w:hint="default" w:ascii="Times New Roman" w:hAnsi="Times New Roman" w:eastAsia="仿宋_GB2312" w:cs="Times New Roman"/>
          <w:b w:val="0"/>
          <w:bCs/>
          <w:sz w:val="32"/>
          <w:szCs w:val="32"/>
          <w:highlight w:val="none"/>
          <w:lang w:eastAsia="zh-CN"/>
        </w:rPr>
        <w:t>58.05</w:t>
      </w:r>
      <w:r>
        <w:rPr>
          <w:rFonts w:hint="default" w:ascii="Times New Roman" w:hAnsi="Times New Roman" w:eastAsia="仿宋_GB2312" w:cs="Times New Roman"/>
          <w:b w:val="0"/>
          <w:bCs/>
          <w:sz w:val="32"/>
          <w:szCs w:val="32"/>
          <w:highlight w:val="none"/>
          <w:lang w:val="en-US" w:eastAsia="zh-CN" w:bidi="ar-SA"/>
        </w:rPr>
        <w:t>万元，占</w:t>
      </w:r>
      <w:r>
        <w:rPr>
          <w:rFonts w:hint="eastAsia" w:ascii="Times New Roman" w:hAnsi="Times New Roman" w:cs="Times New Roman"/>
          <w:b w:val="0"/>
          <w:bCs/>
          <w:sz w:val="32"/>
          <w:szCs w:val="32"/>
          <w:highlight w:val="none"/>
          <w:lang w:val="en-US" w:eastAsia="zh-CN" w:bidi="ar-SA"/>
        </w:rPr>
        <w:t>1.88</w:t>
      </w:r>
      <w:r>
        <w:rPr>
          <w:rFonts w:hint="default" w:ascii="Times New Roman" w:hAnsi="Times New Roman" w:eastAsia="仿宋_GB2312" w:cs="Times New Roman"/>
          <w:b w:val="0"/>
          <w:bCs/>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5" w:firstLineChars="210"/>
        <w:textAlignment w:val="auto"/>
        <w:rPr>
          <w:rFonts w:hint="default" w:ascii="Times New Roman" w:hAnsi="Times New Roman" w:eastAsia="楷体_GB2312" w:cs="Times New Roman"/>
          <w:b/>
          <w:sz w:val="32"/>
          <w:highlight w:val="none"/>
          <w:lang w:val="en-US" w:eastAsia="zh-CN"/>
        </w:rPr>
      </w:pPr>
      <w:r>
        <w:rPr>
          <w:rFonts w:hint="default" w:ascii="Times New Roman" w:hAnsi="Times New Roman" w:eastAsia="楷体_GB2312" w:cs="Times New Roman"/>
          <w:b/>
          <w:sz w:val="32"/>
          <w:highlight w:val="none"/>
          <w:lang w:val="en-US" w:eastAsia="zh-CN"/>
        </w:rPr>
        <w:t>（三）一般公共预算当年拨款具体使用情况</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1.</w:t>
      </w:r>
      <w:r>
        <w:rPr>
          <w:rFonts w:hint="default" w:ascii="Times New Roman" w:hAnsi="Times New Roman" w:eastAsia="仿宋_GB2312" w:cs="Times New Roman"/>
          <w:b w:val="0"/>
          <w:bCs/>
          <w:sz w:val="32"/>
          <w:szCs w:val="32"/>
          <w:highlight w:val="none"/>
          <w:lang w:val="en-US" w:eastAsia="zh-CN"/>
        </w:rPr>
        <w:t>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）行政事业单位养老支出（</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）行政单位离退休（</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年预算数为31.01万元，主要用于：行政单位退休人员慰问金、活动经费等支出。</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2.社会保障和就业支出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）行政事业单位养老支出（</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）机关事业单位基本养老保险缴费支出（</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62.57</w:t>
      </w:r>
      <w:r>
        <w:rPr>
          <w:rFonts w:hint="default" w:ascii="Times New Roman" w:hAnsi="Times New Roman" w:eastAsia="仿宋_GB2312" w:cs="Times New Roman"/>
          <w:b w:val="0"/>
          <w:bCs/>
          <w:sz w:val="32"/>
          <w:szCs w:val="32"/>
          <w:highlight w:val="none"/>
          <w:lang w:eastAsia="zh-CN"/>
        </w:rPr>
        <w:t>万元，主要用于：市残联及下属事业单位在职职工的基本养老保险缴费支出。</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3.社会保障和就业支出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）行政事业单位养老支出（</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）机关事业单位职业年金缴费支出（</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年预算数为31.28万元，主要用于：市残联及下属事业单位在职职工的职业年金缴费支出。</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4.社会保障和就业支出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）行政运行（</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324.91</w:t>
      </w:r>
      <w:r>
        <w:rPr>
          <w:rFonts w:hint="default" w:ascii="Times New Roman" w:hAnsi="Times New Roman" w:eastAsia="仿宋_GB2312" w:cs="Times New Roman"/>
          <w:b w:val="0"/>
          <w:bCs/>
          <w:sz w:val="32"/>
          <w:szCs w:val="32"/>
          <w:highlight w:val="none"/>
          <w:lang w:eastAsia="zh-CN"/>
        </w:rPr>
        <w:t>万元，主要用于：</w:t>
      </w:r>
      <w:r>
        <w:rPr>
          <w:rFonts w:hint="default" w:ascii="Times New Roman" w:hAnsi="Times New Roman" w:eastAsia="仿宋_GB2312" w:cs="Times New Roman"/>
          <w:b w:val="0"/>
          <w:bCs/>
          <w:sz w:val="32"/>
          <w:szCs w:val="32"/>
          <w:highlight w:val="none"/>
          <w:lang w:val="en-US" w:eastAsia="zh-CN"/>
        </w:rPr>
        <w:t>市残联在职公务员基本工资及津贴补贴支出、占编聘用编外人员支出、基本运转支出等。</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5.社会保障和就业支出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）一般行政管理事务（</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13.5</w:t>
      </w:r>
      <w:r>
        <w:rPr>
          <w:rFonts w:hint="default" w:ascii="Times New Roman" w:hAnsi="Times New Roman" w:eastAsia="仿宋_GB2312" w:cs="Times New Roman"/>
          <w:b w:val="0"/>
          <w:bCs/>
          <w:sz w:val="32"/>
          <w:szCs w:val="32"/>
          <w:highlight w:val="none"/>
          <w:lang w:eastAsia="zh-CN"/>
        </w:rPr>
        <w:t>万元，主要用于：保障特种专业设备用车运行维护费、联系帮扶村工作经费</w:t>
      </w:r>
      <w:r>
        <w:rPr>
          <w:rFonts w:hint="eastAsia" w:ascii="Times New Roman" w:hAnsi="Times New Roman" w:cs="Times New Roman"/>
          <w:b w:val="0"/>
          <w:bCs/>
          <w:sz w:val="32"/>
          <w:szCs w:val="32"/>
          <w:highlight w:val="none"/>
          <w:lang w:eastAsia="zh-CN"/>
        </w:rPr>
        <w:t>、办公室规范化建设经费</w:t>
      </w:r>
      <w:r>
        <w:rPr>
          <w:rFonts w:hint="default" w:ascii="Times New Roman" w:hAnsi="Times New Roman" w:eastAsia="仿宋_GB2312" w:cs="Times New Roman"/>
          <w:b w:val="0"/>
          <w:bCs/>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6.社会保障和就业支出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）机关服务（</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322.83</w:t>
      </w:r>
      <w:r>
        <w:rPr>
          <w:rFonts w:hint="default" w:ascii="Times New Roman" w:hAnsi="Times New Roman" w:eastAsia="仿宋_GB2312" w:cs="Times New Roman"/>
          <w:b w:val="0"/>
          <w:bCs/>
          <w:sz w:val="32"/>
          <w:szCs w:val="32"/>
          <w:highlight w:val="none"/>
          <w:lang w:eastAsia="zh-CN"/>
        </w:rPr>
        <w:t>万元，主要用于：</w:t>
      </w:r>
      <w:r>
        <w:rPr>
          <w:rFonts w:hint="default" w:ascii="Times New Roman" w:hAnsi="Times New Roman" w:eastAsia="仿宋_GB2312" w:cs="Times New Roman"/>
          <w:b w:val="0"/>
          <w:bCs/>
          <w:sz w:val="32"/>
          <w:szCs w:val="32"/>
          <w:highlight w:val="none"/>
          <w:lang w:val="en-US" w:eastAsia="zh-CN"/>
        </w:rPr>
        <w:t>市残联下属事业单位在职事业人员基本工资及绩效工资支出、基本运转支出等。</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7.社会保障和就业支出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）残疾人康复（</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550</w:t>
      </w:r>
      <w:r>
        <w:rPr>
          <w:rFonts w:hint="default" w:ascii="Times New Roman" w:hAnsi="Times New Roman" w:eastAsia="仿宋_GB2312" w:cs="Times New Roman"/>
          <w:b w:val="0"/>
          <w:bCs/>
          <w:sz w:val="32"/>
          <w:szCs w:val="32"/>
          <w:highlight w:val="none"/>
          <w:lang w:eastAsia="zh-CN"/>
        </w:rPr>
        <w:t>万元，主要用于：残疾人康复救助及残疾人儿童康复救助项目支出。</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8.社会保障和就业支出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）残疾人就业（</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820</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元，主要用于：“圆梦助学”工程、残疾人就业创业扶持、残疾人职业技能和实用技术培训项目支出。</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9.社会保障和就业支出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）残疾人</w:t>
      </w:r>
      <w:r>
        <w:rPr>
          <w:rFonts w:hint="eastAsia" w:ascii="Times New Roman" w:hAnsi="Times New Roman" w:eastAsia="仿宋_GB2312" w:cs="Times New Roman"/>
          <w:b w:val="0"/>
          <w:bCs/>
          <w:sz w:val="32"/>
          <w:szCs w:val="32"/>
          <w:highlight w:val="none"/>
          <w:lang w:eastAsia="zh-CN"/>
        </w:rPr>
        <w:t>体育</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100</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元，主要用于：残疾人体育项目支出。</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val="en-US" w:eastAsia="zh-CN"/>
        </w:rPr>
        <w:t>10</w:t>
      </w:r>
      <w:r>
        <w:rPr>
          <w:rFonts w:hint="default" w:ascii="Times New Roman" w:hAnsi="Times New Roman" w:eastAsia="仿宋_GB2312" w:cs="Times New Roman"/>
          <w:b w:val="0"/>
          <w:bCs/>
          <w:sz w:val="32"/>
          <w:szCs w:val="32"/>
          <w:highlight w:val="none"/>
          <w:lang w:val="en-US" w:eastAsia="zh-CN"/>
        </w:rPr>
        <w:t>.社会保障和就业支出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）其他残疾人事业支出（</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eastAsia" w:ascii="Times New Roman" w:hAnsi="Times New Roman" w:eastAsia="仿宋_GB2312" w:cs="Times New Roman"/>
          <w:b w:val="0"/>
          <w:bCs/>
          <w:sz w:val="32"/>
          <w:szCs w:val="32"/>
          <w:highlight w:val="none"/>
          <w:lang w:val="en-US" w:eastAsia="zh-CN"/>
        </w:rPr>
        <w:t>738</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元，主要用于：残疾人</w:t>
      </w:r>
      <w:r>
        <w:rPr>
          <w:rFonts w:hint="eastAsia" w:ascii="Times New Roman" w:hAnsi="Times New Roman" w:eastAsia="仿宋_GB2312" w:cs="Times New Roman"/>
          <w:b w:val="0"/>
          <w:bCs/>
          <w:sz w:val="32"/>
          <w:szCs w:val="32"/>
          <w:highlight w:val="none"/>
          <w:lang w:eastAsia="zh-CN"/>
        </w:rPr>
        <w:t>维权、组织建设、宣传文化以及残保金征收及残疾人就业创业工作经费等</w:t>
      </w:r>
      <w:r>
        <w:rPr>
          <w:rFonts w:hint="default" w:ascii="Times New Roman" w:hAnsi="Times New Roman" w:eastAsia="仿宋_GB2312" w:cs="Times New Roman"/>
          <w:b w:val="0"/>
          <w:bCs/>
          <w:sz w:val="32"/>
          <w:szCs w:val="32"/>
          <w:highlight w:val="none"/>
          <w:lang w:eastAsia="zh-CN"/>
        </w:rPr>
        <w:t>项目支出。</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11</w:t>
      </w:r>
      <w:r>
        <w:rPr>
          <w:rFonts w:hint="default" w:ascii="Times New Roman" w:hAnsi="Times New Roman" w:eastAsia="仿宋_GB2312" w:cs="Times New Roman"/>
          <w:b w:val="0"/>
          <w:bCs/>
          <w:sz w:val="32"/>
          <w:szCs w:val="32"/>
          <w:highlight w:val="none"/>
          <w:lang w:val="en-US" w:eastAsia="zh-CN"/>
        </w:rPr>
        <w:t>.卫生健康支出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）行政事业单位医疗（</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）行政单位医疗（</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16.67</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w:t>
      </w:r>
      <w:r>
        <w:rPr>
          <w:rFonts w:hint="default" w:ascii="Times New Roman" w:hAnsi="Times New Roman" w:eastAsia="仿宋_GB2312" w:cs="Times New Roman"/>
          <w:b w:val="0"/>
          <w:bCs/>
          <w:sz w:val="32"/>
          <w:szCs w:val="32"/>
          <w:highlight w:val="none"/>
          <w:lang w:val="en-US" w:eastAsia="zh-CN"/>
        </w:rPr>
        <w:t>市残联在职公务员的基本医疗保险缴费支出。</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val="en-US" w:eastAsia="zh-CN"/>
        </w:rPr>
        <w:t>12</w:t>
      </w:r>
      <w:r>
        <w:rPr>
          <w:rFonts w:hint="default" w:ascii="Times New Roman" w:hAnsi="Times New Roman" w:eastAsia="仿宋_GB2312" w:cs="Times New Roman"/>
          <w:b w:val="0"/>
          <w:bCs/>
          <w:sz w:val="32"/>
          <w:szCs w:val="32"/>
          <w:highlight w:val="none"/>
          <w:lang w:val="en-US" w:eastAsia="zh-CN"/>
        </w:rPr>
        <w:t>.卫生健康支出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）行政事业单位医疗（</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）事业单位医疗（</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16.46</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w:t>
      </w:r>
      <w:r>
        <w:rPr>
          <w:rFonts w:hint="default" w:ascii="Times New Roman" w:hAnsi="Times New Roman" w:eastAsia="仿宋_GB2312" w:cs="Times New Roman"/>
          <w:b w:val="0"/>
          <w:bCs/>
          <w:sz w:val="32"/>
          <w:szCs w:val="32"/>
          <w:highlight w:val="none"/>
          <w:lang w:val="en-US" w:eastAsia="zh-CN"/>
        </w:rPr>
        <w:t>市残联</w:t>
      </w:r>
      <w:r>
        <w:rPr>
          <w:rFonts w:hint="default" w:ascii="Times New Roman" w:hAnsi="Times New Roman" w:eastAsia="仿宋_GB2312" w:cs="Times New Roman"/>
          <w:b w:val="0"/>
          <w:bCs/>
          <w:sz w:val="32"/>
          <w:szCs w:val="32"/>
          <w:highlight w:val="none"/>
          <w:lang w:eastAsia="zh-CN"/>
        </w:rPr>
        <w:t>下属单位财政全额拨款的在职事业人员的基本医疗保险缴费支出。</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val="en-US" w:eastAsia="zh-CN"/>
        </w:rPr>
        <w:t>13</w:t>
      </w:r>
      <w:r>
        <w:rPr>
          <w:rFonts w:hint="default" w:ascii="Times New Roman" w:hAnsi="Times New Roman" w:eastAsia="仿宋_GB2312" w:cs="Times New Roman"/>
          <w:b w:val="0"/>
          <w:bCs/>
          <w:sz w:val="32"/>
          <w:szCs w:val="32"/>
          <w:highlight w:val="none"/>
          <w:lang w:val="en-US" w:eastAsia="zh-CN"/>
        </w:rPr>
        <w:t>.卫生健康支出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）行政事业单位医疗（</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）公务员医疗补助（</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4.56</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元，主要用于：市残联及下属事业单位在职职工</w:t>
      </w:r>
      <w:r>
        <w:rPr>
          <w:rFonts w:hint="eastAsia" w:ascii="Times New Roman" w:hAnsi="Times New Roman" w:cs="Times New Roman"/>
          <w:b w:val="0"/>
          <w:bCs/>
          <w:sz w:val="32"/>
          <w:szCs w:val="32"/>
          <w:highlight w:val="none"/>
          <w:lang w:eastAsia="zh-CN"/>
        </w:rPr>
        <w:t>、退休人员</w:t>
      </w:r>
      <w:r>
        <w:rPr>
          <w:rFonts w:hint="default" w:ascii="Times New Roman" w:hAnsi="Times New Roman" w:eastAsia="仿宋_GB2312" w:cs="Times New Roman"/>
          <w:b w:val="0"/>
          <w:bCs/>
          <w:sz w:val="32"/>
          <w:szCs w:val="32"/>
          <w:highlight w:val="none"/>
          <w:lang w:eastAsia="zh-CN"/>
        </w:rPr>
        <w:t>公务员医疗补助支出。</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val="en-US" w:eastAsia="zh-CN"/>
        </w:rPr>
        <w:t>14</w:t>
      </w:r>
      <w:r>
        <w:rPr>
          <w:rFonts w:hint="default" w:ascii="Times New Roman" w:hAnsi="Times New Roman" w:eastAsia="仿宋_GB2312" w:cs="Times New Roman"/>
          <w:b w:val="0"/>
          <w:bCs/>
          <w:sz w:val="32"/>
          <w:szCs w:val="32"/>
          <w:highlight w:val="none"/>
          <w:lang w:val="en-US" w:eastAsia="zh-CN"/>
        </w:rPr>
        <w:t>.卫生健康支出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）行政事业单位医疗（</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eastAsia="zh-CN"/>
        </w:rPr>
        <w:t>其他行政事业单位医疗支出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4.</w:t>
      </w:r>
      <w:r>
        <w:rPr>
          <w:rFonts w:hint="eastAsia" w:ascii="Times New Roman" w:hAnsi="Times New Roman" w:eastAsia="仿宋_GB2312" w:cs="Times New Roman"/>
          <w:b w:val="0"/>
          <w:bCs/>
          <w:sz w:val="32"/>
          <w:szCs w:val="32"/>
          <w:highlight w:val="none"/>
          <w:lang w:val="en-US" w:eastAsia="zh-CN"/>
        </w:rPr>
        <w:t>21</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元，主要用于：市残联及下属事业单位职工</w:t>
      </w:r>
      <w:r>
        <w:rPr>
          <w:rFonts w:hint="eastAsia" w:ascii="Times New Roman" w:hAnsi="Times New Roman" w:eastAsia="仿宋_GB2312" w:cs="Times New Roman"/>
          <w:b w:val="0"/>
          <w:bCs/>
          <w:sz w:val="32"/>
          <w:szCs w:val="32"/>
          <w:highlight w:val="none"/>
          <w:lang w:eastAsia="zh-CN"/>
        </w:rPr>
        <w:t>健康体检费</w:t>
      </w:r>
      <w:r>
        <w:rPr>
          <w:rFonts w:hint="default" w:ascii="Times New Roman" w:hAnsi="Times New Roman" w:eastAsia="仿宋_GB2312" w:cs="Times New Roman"/>
          <w:b w:val="0"/>
          <w:bCs/>
          <w:sz w:val="32"/>
          <w:szCs w:val="32"/>
          <w:highlight w:val="none"/>
          <w:lang w:eastAsia="zh-CN"/>
        </w:rPr>
        <w:t>支出。</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val="en-US" w:eastAsia="zh-CN"/>
        </w:rPr>
        <w:t>15</w:t>
      </w:r>
      <w:r>
        <w:rPr>
          <w:rFonts w:hint="default" w:ascii="Times New Roman" w:hAnsi="Times New Roman" w:eastAsia="仿宋_GB2312" w:cs="Times New Roman"/>
          <w:b w:val="0"/>
          <w:bCs/>
          <w:sz w:val="32"/>
          <w:szCs w:val="32"/>
          <w:highlight w:val="none"/>
          <w:lang w:val="en-US" w:eastAsia="zh-CN"/>
        </w:rPr>
        <w:t>.住房保障支出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）住房改革支出（</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）住房公积金（</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53.74</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元，主要用于：市残联及下属事业单位在职职工住房公积金缴费支出。</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1</w:t>
      </w:r>
      <w:r>
        <w:rPr>
          <w:rFonts w:hint="eastAsia" w:ascii="Times New Roman" w:hAnsi="Times New Roman" w:cs="Times New Roman"/>
          <w:b w:val="0"/>
          <w:bCs/>
          <w:sz w:val="32"/>
          <w:szCs w:val="32"/>
          <w:highlight w:val="none"/>
          <w:lang w:val="en-US" w:eastAsia="zh-CN"/>
        </w:rPr>
        <w:t>6</w:t>
      </w:r>
      <w:r>
        <w:rPr>
          <w:rFonts w:hint="default" w:ascii="Times New Roman" w:hAnsi="Times New Roman" w:eastAsia="仿宋_GB2312" w:cs="Times New Roman"/>
          <w:b w:val="0"/>
          <w:bCs/>
          <w:sz w:val="32"/>
          <w:szCs w:val="32"/>
          <w:highlight w:val="none"/>
          <w:lang w:val="en-US" w:eastAsia="zh-CN"/>
        </w:rPr>
        <w:t>.住房保障支出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）住房改革支出（</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 购房补贴（</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4.31</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元，主要用于：市残联职工</w:t>
      </w:r>
      <w:r>
        <w:rPr>
          <w:rFonts w:hint="eastAsia" w:ascii="Times New Roman" w:hAnsi="Times New Roman" w:cs="Times New Roman"/>
          <w:b w:val="0"/>
          <w:bCs/>
          <w:sz w:val="32"/>
          <w:szCs w:val="32"/>
          <w:highlight w:val="none"/>
          <w:lang w:eastAsia="zh-CN"/>
        </w:rPr>
        <w:t>住房补贴</w:t>
      </w:r>
      <w:r>
        <w:rPr>
          <w:rFonts w:hint="default" w:ascii="Times New Roman" w:hAnsi="Times New Roman" w:eastAsia="仿宋_GB2312" w:cs="Times New Roman"/>
          <w:b w:val="0"/>
          <w:bCs/>
          <w:sz w:val="32"/>
          <w:szCs w:val="32"/>
          <w:highlight w:val="none"/>
          <w:lang w:eastAsia="zh-CN"/>
        </w:rPr>
        <w:t>支出。</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default" w:ascii="Times New Roman" w:hAnsi="Times New Roman" w:eastAsia="方正楷体简体" w:cs="Times New Roman"/>
          <w:b/>
          <w:color w:val="000000" w:themeColor="text1"/>
          <w:sz w:val="32"/>
          <w:szCs w:val="32"/>
          <w:highlight w:val="none"/>
          <w14:textFill>
            <w14:solidFill>
              <w14:schemeClr w14:val="tx1"/>
            </w14:solidFill>
          </w14:textFill>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、一般公共预算基本支出情况说明</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泸州市残疾人联合会2024</w:t>
      </w:r>
      <w:r>
        <w:rPr>
          <w:rFonts w:hint="default" w:ascii="Times New Roman" w:hAnsi="Times New Roman" w:eastAsia="仿宋_GB2312" w:cs="Times New Roman"/>
          <w:b w:val="0"/>
          <w:bCs/>
          <w:sz w:val="32"/>
          <w:szCs w:val="32"/>
          <w:highlight w:val="none"/>
          <w:lang w:eastAsia="zh-CN"/>
        </w:rPr>
        <w:t>年一般公共预算基本支出836.55万元，其中：</w:t>
      </w:r>
    </w:p>
    <w:p>
      <w:pPr>
        <w:pStyle w:val="2"/>
        <w:keepNext w:val="0"/>
        <w:keepLines w:val="0"/>
        <w:pageBreakBefore w:val="0"/>
        <w:widowControl w:val="0"/>
        <w:kinsoku/>
        <w:wordWrap/>
        <w:overflowPunct/>
        <w:topLinePunct w:val="0"/>
        <w:autoSpaceDE/>
        <w:autoSpaceDN/>
        <w:bidi w:val="0"/>
        <w:adjustRightInd w:val="0"/>
        <w:snapToGrid/>
        <w:spacing w:before="0" w:beforeLines="0" w:line="580" w:lineRule="exact"/>
        <w:ind w:firstLine="672" w:firstLineChars="21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人员经费685.05万元，主要包括：主要包括：基本工资、津贴补贴、奖金、社会保险缴费、绩效工资、机关事业单位基本养老保险缴费、职业年金缴费、其他工资福利支出、住房公积金、其他对个人和家庭的补助支出。</w:t>
      </w:r>
    </w:p>
    <w:p>
      <w:pPr>
        <w:pStyle w:val="2"/>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公用</w:t>
      </w:r>
      <w:r>
        <w:rPr>
          <w:rFonts w:hint="default" w:ascii="Times New Roman" w:hAnsi="Times New Roman" w:eastAsia="仿宋_GB2312" w:cs="Times New Roman"/>
          <w:b w:val="0"/>
          <w:bCs/>
          <w:sz w:val="32"/>
          <w:szCs w:val="32"/>
          <w:highlight w:val="none"/>
          <w:lang w:eastAsia="zh-CN"/>
        </w:rPr>
        <w:t>经费</w:t>
      </w:r>
      <w:r>
        <w:rPr>
          <w:rFonts w:hint="eastAsia" w:ascii="Times New Roman" w:hAnsi="Times New Roman" w:cs="Times New Roman"/>
          <w:b w:val="0"/>
          <w:bCs/>
          <w:sz w:val="32"/>
          <w:szCs w:val="32"/>
          <w:highlight w:val="none"/>
          <w:lang w:val="en-US" w:eastAsia="zh-CN"/>
        </w:rPr>
        <w:t>151.5</w:t>
      </w:r>
      <w:r>
        <w:rPr>
          <w:rFonts w:hint="default" w:ascii="Times New Roman" w:hAnsi="Times New Roman" w:eastAsia="仿宋_GB2312" w:cs="Times New Roman"/>
          <w:b w:val="0"/>
          <w:bCs/>
          <w:sz w:val="32"/>
          <w:szCs w:val="32"/>
          <w:highlight w:val="none"/>
          <w:lang w:eastAsia="zh-CN"/>
        </w:rPr>
        <w:t>万元，主要包括：办公费、物业管理费、邮电费、差旅费、公务接待费、劳务费、工会经费、福利费、其他交通费用、其他商品和服务支出</w:t>
      </w:r>
      <w:r>
        <w:rPr>
          <w:rFonts w:hint="eastAsia" w:ascii="Times New Roman" w:hAnsi="Times New Roman" w:cs="Times New Roman"/>
          <w:b w:val="0"/>
          <w:bCs/>
          <w:sz w:val="32"/>
          <w:szCs w:val="32"/>
          <w:highlight w:val="none"/>
          <w:lang w:eastAsia="zh-CN"/>
        </w:rPr>
        <w:t>、退休人员福利费及活动经费</w:t>
      </w:r>
      <w:r>
        <w:rPr>
          <w:rFonts w:hint="default" w:ascii="Times New Roman" w:hAnsi="Times New Roman" w:eastAsia="仿宋_GB2312" w:cs="Times New Roman"/>
          <w:b w:val="0"/>
          <w:bCs/>
          <w:sz w:val="32"/>
          <w:szCs w:val="32"/>
          <w:highlight w:val="none"/>
          <w:lang w:eastAsia="zh-CN"/>
        </w:rPr>
        <w:t>等。</w:t>
      </w:r>
    </w:p>
    <w:p>
      <w:pPr>
        <w:spacing w:line="600" w:lineRule="exact"/>
        <w:ind w:firstLine="640" w:firstLineChars="200"/>
        <w:jc w:val="left"/>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、“三公”经费财政拨款预算安排情况说明</w:t>
      </w:r>
    </w:p>
    <w:p>
      <w:pPr>
        <w:pStyle w:val="2"/>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eastAsia="zh-CN"/>
        </w:rPr>
        <w:t>泸州市残疾人联合会2024</w:t>
      </w:r>
      <w:r>
        <w:rPr>
          <w:rFonts w:hint="default" w:ascii="Times New Roman" w:hAnsi="Times New Roman" w:eastAsia="仿宋_GB2312" w:cs="Times New Roman"/>
          <w:b w:val="0"/>
          <w:bCs/>
          <w:sz w:val="32"/>
          <w:szCs w:val="32"/>
          <w:highlight w:val="none"/>
          <w:lang w:eastAsia="zh-CN"/>
        </w:rPr>
        <w:t>年“三公”经费财政拨款预算数</w:t>
      </w:r>
      <w:r>
        <w:rPr>
          <w:rFonts w:hint="eastAsia" w:ascii="Times New Roman" w:hAnsi="Times New Roman" w:cs="Times New Roman"/>
          <w:b w:val="0"/>
          <w:bCs/>
          <w:sz w:val="32"/>
          <w:szCs w:val="32"/>
          <w:highlight w:val="none"/>
          <w:lang w:val="en-US" w:eastAsia="zh-CN"/>
        </w:rPr>
        <w:t>15.6</w:t>
      </w:r>
      <w:r>
        <w:rPr>
          <w:rFonts w:hint="default" w:ascii="Times New Roman" w:hAnsi="Times New Roman" w:eastAsia="仿宋_GB2312" w:cs="Times New Roman"/>
          <w:b w:val="0"/>
          <w:bCs/>
          <w:sz w:val="32"/>
          <w:szCs w:val="32"/>
          <w:highlight w:val="none"/>
          <w:lang w:eastAsia="zh-CN"/>
        </w:rPr>
        <w:t>万元，其中：因公出国（境）经费</w:t>
      </w:r>
      <w:r>
        <w:rPr>
          <w:rFonts w:hint="eastAsia" w:ascii="Times New Roman" w:hAnsi="Times New Roman" w:eastAsia="仿宋_GB2312"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公务接待费</w:t>
      </w:r>
      <w:r>
        <w:rPr>
          <w:rFonts w:hint="eastAsia" w:ascii="Times New Roman" w:hAnsi="Times New Roman" w:cs="Times New Roman"/>
          <w:b w:val="0"/>
          <w:bCs/>
          <w:sz w:val="32"/>
          <w:szCs w:val="32"/>
          <w:highlight w:val="none"/>
          <w:lang w:val="en-US" w:eastAsia="zh-CN"/>
        </w:rPr>
        <w:t>3.6</w:t>
      </w:r>
      <w:r>
        <w:rPr>
          <w:rFonts w:hint="default" w:ascii="Times New Roman" w:hAnsi="Times New Roman" w:eastAsia="仿宋_GB2312" w:cs="Times New Roman"/>
          <w:b w:val="0"/>
          <w:bCs/>
          <w:sz w:val="32"/>
          <w:szCs w:val="32"/>
          <w:highlight w:val="none"/>
          <w:lang w:eastAsia="zh-CN"/>
        </w:rPr>
        <w:t>万元，公务用车购置及运行维护费</w:t>
      </w:r>
      <w:r>
        <w:rPr>
          <w:rFonts w:hint="eastAsia" w:ascii="Times New Roman" w:hAnsi="Times New Roman" w:cs="Times New Roman"/>
          <w:b w:val="0"/>
          <w:bCs/>
          <w:sz w:val="32"/>
          <w:szCs w:val="32"/>
          <w:highlight w:val="none"/>
          <w:lang w:val="en-US" w:eastAsia="zh-CN"/>
        </w:rPr>
        <w:t>12</w:t>
      </w:r>
      <w:r>
        <w:rPr>
          <w:rFonts w:hint="default" w:ascii="Times New Roman" w:hAnsi="Times New Roman" w:eastAsia="仿宋_GB2312" w:cs="Times New Roman"/>
          <w:b w:val="0"/>
          <w:bCs/>
          <w:sz w:val="32"/>
          <w:szCs w:val="32"/>
          <w:highlight w:val="none"/>
          <w:lang w:eastAsia="zh-CN"/>
        </w:rPr>
        <w:t>万元。</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w:t>
      </w:r>
      <w:r>
        <w:rPr>
          <w:rFonts w:hint="eastAsia" w:ascii="Times New Roman" w:hAnsi="Times New Roman" w:eastAsia="楷体_GB2312" w:cs="Times New Roman"/>
          <w:b/>
          <w:kern w:val="2"/>
          <w:sz w:val="32"/>
          <w:szCs w:val="22"/>
          <w:highlight w:val="none"/>
          <w:lang w:val="en-US" w:eastAsia="zh-CN" w:bidi="ar-SA"/>
        </w:rPr>
        <w:t>一</w:t>
      </w:r>
      <w:r>
        <w:rPr>
          <w:rFonts w:hint="default" w:ascii="Times New Roman" w:hAnsi="Times New Roman" w:eastAsia="楷体_GB2312" w:cs="Times New Roman"/>
          <w:b/>
          <w:kern w:val="2"/>
          <w:sz w:val="32"/>
          <w:szCs w:val="22"/>
          <w:highlight w:val="none"/>
          <w:lang w:val="en-US" w:eastAsia="zh-CN" w:bidi="ar-SA"/>
        </w:rPr>
        <w:t>）公务接待费与202</w:t>
      </w:r>
      <w:r>
        <w:rPr>
          <w:rFonts w:hint="eastAsia" w:ascii="Times New Roman" w:hAnsi="Times New Roman" w:eastAsia="楷体_GB2312" w:cs="Times New Roman"/>
          <w:b/>
          <w:kern w:val="2"/>
          <w:sz w:val="32"/>
          <w:szCs w:val="22"/>
          <w:highlight w:val="none"/>
          <w:lang w:val="en-US" w:eastAsia="zh-CN" w:bidi="ar-SA"/>
        </w:rPr>
        <w:t>3</w:t>
      </w:r>
      <w:r>
        <w:rPr>
          <w:rFonts w:hint="default" w:ascii="Times New Roman" w:hAnsi="Times New Roman" w:eastAsia="楷体_GB2312" w:cs="Times New Roman"/>
          <w:b/>
          <w:kern w:val="2"/>
          <w:sz w:val="32"/>
          <w:szCs w:val="22"/>
          <w:highlight w:val="none"/>
          <w:lang w:val="en-US" w:eastAsia="zh-CN" w:bidi="ar-SA"/>
        </w:rPr>
        <w:t>年预算持平。</w:t>
      </w:r>
      <w:r>
        <w:rPr>
          <w:rFonts w:hint="eastAsia" w:ascii="Times New Roman" w:hAnsi="Times New Roman" w:eastAsia="仿宋_GB2312" w:cs="Times New Roman"/>
          <w:b w:val="0"/>
          <w:bCs/>
          <w:kern w:val="2"/>
          <w:sz w:val="32"/>
          <w:szCs w:val="32"/>
          <w:highlight w:val="none"/>
          <w:lang w:val="en-US" w:eastAsia="zh-CN" w:bidi="ar-SA"/>
        </w:rPr>
        <w:t>2024</w:t>
      </w:r>
      <w:r>
        <w:rPr>
          <w:rFonts w:hint="default" w:ascii="Times New Roman" w:hAnsi="Times New Roman" w:eastAsia="仿宋_GB2312" w:cs="Times New Roman"/>
          <w:b w:val="0"/>
          <w:bCs/>
          <w:kern w:val="2"/>
          <w:sz w:val="32"/>
          <w:szCs w:val="32"/>
          <w:highlight w:val="none"/>
          <w:lang w:val="en-US" w:eastAsia="zh-CN" w:bidi="ar-SA"/>
        </w:rPr>
        <w:t>年公务接待费计划</w:t>
      </w:r>
      <w:r>
        <w:rPr>
          <w:rFonts w:hint="eastAsia" w:ascii="Times New Roman" w:hAnsi="Times New Roman" w:eastAsia="仿宋_GB2312" w:cs="Times New Roman"/>
          <w:b w:val="0"/>
          <w:bCs/>
          <w:kern w:val="2"/>
          <w:sz w:val="32"/>
          <w:szCs w:val="32"/>
          <w:highlight w:val="none"/>
          <w:lang w:val="en-US" w:eastAsia="zh-CN" w:bidi="ar-SA"/>
        </w:rPr>
        <w:t>用于上级</w:t>
      </w:r>
      <w:r>
        <w:rPr>
          <w:rFonts w:hint="default" w:ascii="Times New Roman" w:hAnsi="Times New Roman" w:eastAsia="仿宋_GB2312" w:cs="Times New Roman"/>
          <w:b w:val="0"/>
          <w:bCs/>
          <w:kern w:val="2"/>
          <w:sz w:val="32"/>
          <w:szCs w:val="32"/>
          <w:highlight w:val="none"/>
          <w:lang w:val="en-US" w:eastAsia="zh-CN" w:bidi="ar-SA"/>
        </w:rPr>
        <w:t>残联及其他省市</w:t>
      </w:r>
      <w:r>
        <w:rPr>
          <w:rFonts w:hint="eastAsia" w:ascii="Times New Roman" w:hAnsi="Times New Roman" w:eastAsia="仿宋_GB2312" w:cs="Times New Roman"/>
          <w:b w:val="0"/>
          <w:bCs/>
          <w:kern w:val="2"/>
          <w:sz w:val="32"/>
          <w:szCs w:val="32"/>
          <w:highlight w:val="none"/>
          <w:lang w:val="en-US" w:eastAsia="zh-CN" w:bidi="ar-SA"/>
        </w:rPr>
        <w:t>单位</w:t>
      </w:r>
      <w:r>
        <w:rPr>
          <w:rFonts w:hint="default" w:ascii="Times New Roman" w:hAnsi="Times New Roman" w:eastAsia="仿宋_GB2312" w:cs="Times New Roman"/>
          <w:b w:val="0"/>
          <w:bCs/>
          <w:kern w:val="2"/>
          <w:sz w:val="32"/>
          <w:szCs w:val="32"/>
          <w:highlight w:val="none"/>
          <w:lang w:val="en-US" w:eastAsia="zh-CN" w:bidi="ar-SA"/>
        </w:rPr>
        <w:t>接待。</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w:t>
      </w:r>
      <w:r>
        <w:rPr>
          <w:rFonts w:hint="eastAsia" w:ascii="Times New Roman" w:hAnsi="Times New Roman" w:eastAsia="楷体_GB2312" w:cs="Times New Roman"/>
          <w:b/>
          <w:kern w:val="2"/>
          <w:sz w:val="32"/>
          <w:szCs w:val="22"/>
          <w:highlight w:val="none"/>
          <w:lang w:val="en-US" w:eastAsia="zh-CN" w:bidi="ar-SA"/>
        </w:rPr>
        <w:t>二</w:t>
      </w:r>
      <w:r>
        <w:rPr>
          <w:rFonts w:hint="default" w:ascii="Times New Roman" w:hAnsi="Times New Roman" w:eastAsia="楷体_GB2312" w:cs="Times New Roman"/>
          <w:b/>
          <w:kern w:val="2"/>
          <w:sz w:val="32"/>
          <w:szCs w:val="22"/>
          <w:highlight w:val="none"/>
          <w:lang w:val="en-US" w:eastAsia="zh-CN" w:bidi="ar-SA"/>
        </w:rPr>
        <w:t>）公务用车购置及运行维护费与202</w:t>
      </w:r>
      <w:r>
        <w:rPr>
          <w:rFonts w:hint="eastAsia" w:ascii="Times New Roman" w:hAnsi="Times New Roman" w:eastAsia="楷体_GB2312" w:cs="Times New Roman"/>
          <w:b/>
          <w:kern w:val="2"/>
          <w:sz w:val="32"/>
          <w:szCs w:val="22"/>
          <w:highlight w:val="none"/>
          <w:lang w:val="en-US" w:eastAsia="zh-CN" w:bidi="ar-SA"/>
        </w:rPr>
        <w:t>3</w:t>
      </w:r>
      <w:r>
        <w:rPr>
          <w:rFonts w:hint="default" w:ascii="Times New Roman" w:hAnsi="Times New Roman" w:eastAsia="楷体_GB2312" w:cs="Times New Roman"/>
          <w:b/>
          <w:kern w:val="2"/>
          <w:sz w:val="32"/>
          <w:szCs w:val="22"/>
          <w:highlight w:val="none"/>
          <w:lang w:val="en-US" w:eastAsia="zh-CN" w:bidi="ar-SA"/>
        </w:rPr>
        <w:t>年预算持平</w:t>
      </w:r>
      <w:r>
        <w:rPr>
          <w:rFonts w:hint="eastAsia" w:ascii="Times New Roman" w:hAnsi="Times New Roman" w:eastAsia="楷体_GB2312" w:cs="Times New Roman"/>
          <w:b/>
          <w:kern w:val="2"/>
          <w:sz w:val="32"/>
          <w:szCs w:val="22"/>
          <w:highlight w:val="none"/>
          <w:lang w:val="en-US" w:eastAsia="zh-CN" w:bidi="ar-SA"/>
        </w:rPr>
        <w:t>。</w:t>
      </w: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单位现有公务用车</w:t>
      </w:r>
      <w:r>
        <w:rPr>
          <w:rFonts w:hint="eastAsia" w:ascii="Times New Roman" w:hAnsi="Times New Roman" w:eastAsia="仿宋_GB2312" w:cs="Times New Roman"/>
          <w:b w:val="0"/>
          <w:bCs/>
          <w:kern w:val="2"/>
          <w:sz w:val="32"/>
          <w:szCs w:val="32"/>
          <w:highlight w:val="none"/>
          <w:lang w:val="en-US" w:eastAsia="zh-CN" w:bidi="ar-SA"/>
        </w:rPr>
        <w:t>2</w:t>
      </w:r>
      <w:r>
        <w:rPr>
          <w:rFonts w:hint="default" w:ascii="Times New Roman" w:hAnsi="Times New Roman" w:eastAsia="仿宋_GB2312" w:cs="Times New Roman"/>
          <w:b w:val="0"/>
          <w:bCs/>
          <w:kern w:val="2"/>
          <w:sz w:val="32"/>
          <w:szCs w:val="32"/>
          <w:highlight w:val="none"/>
          <w:lang w:val="en-US" w:eastAsia="zh-CN" w:bidi="ar-SA"/>
        </w:rPr>
        <w:t>辆，其中：轿车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辆，旅行车（含商务车）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辆，越野车</w:t>
      </w:r>
      <w:r>
        <w:rPr>
          <w:rFonts w:hint="eastAsia" w:ascii="Times New Roman" w:hAnsi="Times New Roman" w:eastAsia="仿宋_GB2312" w:cs="Times New Roman"/>
          <w:b w:val="0"/>
          <w:bCs/>
          <w:kern w:val="2"/>
          <w:sz w:val="32"/>
          <w:szCs w:val="32"/>
          <w:highlight w:val="none"/>
          <w:lang w:val="en-US" w:eastAsia="zh-CN" w:bidi="ar-SA"/>
        </w:rPr>
        <w:t>1</w:t>
      </w:r>
      <w:r>
        <w:rPr>
          <w:rFonts w:hint="default" w:ascii="Times New Roman" w:hAnsi="Times New Roman" w:eastAsia="仿宋_GB2312" w:cs="Times New Roman"/>
          <w:b w:val="0"/>
          <w:bCs/>
          <w:kern w:val="2"/>
          <w:sz w:val="32"/>
          <w:szCs w:val="32"/>
          <w:highlight w:val="none"/>
          <w:lang w:val="en-US" w:eastAsia="zh-CN" w:bidi="ar-SA"/>
        </w:rPr>
        <w:t>辆，大型客、货车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w:t>
      </w:r>
      <w:r>
        <w:rPr>
          <w:rFonts w:hint="eastAsia" w:ascii="Times New Roman" w:hAnsi="Times New Roman" w:eastAsia="仿宋_GB2312" w:cs="Times New Roman"/>
          <w:b w:val="0"/>
          <w:bCs/>
          <w:kern w:val="2"/>
          <w:sz w:val="32"/>
          <w:szCs w:val="32"/>
          <w:highlight w:val="none"/>
          <w:lang w:val="en-US" w:eastAsia="zh-CN" w:bidi="ar-SA"/>
        </w:rPr>
        <w:t>、</w:t>
      </w:r>
      <w:r>
        <w:rPr>
          <w:rFonts w:hint="default" w:ascii="Times New Roman" w:hAnsi="Times New Roman" w:eastAsia="仿宋_GB2312" w:cs="Times New Roman"/>
          <w:sz w:val="32"/>
          <w:szCs w:val="32"/>
        </w:rPr>
        <w:t>其他车1辆</w:t>
      </w:r>
      <w:r>
        <w:rPr>
          <w:rFonts w:hint="eastAsia" w:ascii="Times New Roman" w:hAnsi="Times New Roman" w:eastAsia="仿宋_GB2312" w:cs="Times New Roman"/>
          <w:sz w:val="32"/>
          <w:szCs w:val="32"/>
          <w:lang w:eastAsia="zh-CN"/>
        </w:rPr>
        <w:t>。</w:t>
      </w: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2024</w:t>
      </w:r>
      <w:r>
        <w:rPr>
          <w:rFonts w:hint="default" w:ascii="Times New Roman" w:hAnsi="Times New Roman" w:eastAsia="仿宋_GB2312" w:cs="Times New Roman"/>
          <w:b w:val="0"/>
          <w:bCs/>
          <w:kern w:val="2"/>
          <w:sz w:val="32"/>
          <w:szCs w:val="32"/>
          <w:highlight w:val="none"/>
          <w:lang w:val="en-US" w:eastAsia="zh-CN" w:bidi="ar-SA"/>
        </w:rPr>
        <w:t>年安排公务用车购置费</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万元</w:t>
      </w:r>
      <w:r>
        <w:rPr>
          <w:rFonts w:hint="eastAsia" w:ascii="Times New Roman" w:hAnsi="Times New Roman" w:eastAsia="仿宋_GB2312" w:cs="Times New Roman"/>
          <w:b w:val="0"/>
          <w:bCs/>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2024</w:t>
      </w:r>
      <w:r>
        <w:rPr>
          <w:rFonts w:hint="default" w:ascii="Times New Roman" w:hAnsi="Times New Roman" w:eastAsia="仿宋_GB2312" w:cs="Times New Roman"/>
          <w:b w:val="0"/>
          <w:bCs/>
          <w:kern w:val="2"/>
          <w:sz w:val="32"/>
          <w:szCs w:val="32"/>
          <w:highlight w:val="none"/>
          <w:lang w:val="en-US" w:eastAsia="zh-CN" w:bidi="ar-SA"/>
        </w:rPr>
        <w:t>年安排公务用车运行维护费</w:t>
      </w:r>
      <w:r>
        <w:rPr>
          <w:rFonts w:hint="eastAsia" w:ascii="Times New Roman" w:hAnsi="Times New Roman" w:cs="Times New Roman"/>
          <w:b w:val="0"/>
          <w:bCs/>
          <w:kern w:val="2"/>
          <w:sz w:val="32"/>
          <w:szCs w:val="32"/>
          <w:highlight w:val="none"/>
          <w:lang w:val="en-US" w:eastAsia="zh-CN" w:bidi="ar-SA"/>
        </w:rPr>
        <w:t>12</w:t>
      </w:r>
      <w:r>
        <w:rPr>
          <w:rFonts w:hint="default" w:ascii="Times New Roman" w:hAnsi="Times New Roman" w:eastAsia="仿宋_GB2312" w:cs="Times New Roman"/>
          <w:b w:val="0"/>
          <w:bCs/>
          <w:kern w:val="2"/>
          <w:sz w:val="32"/>
          <w:szCs w:val="32"/>
          <w:highlight w:val="none"/>
          <w:lang w:val="en-US" w:eastAsia="zh-CN" w:bidi="ar-SA"/>
        </w:rPr>
        <w:t>万元，用于</w:t>
      </w:r>
      <w:r>
        <w:rPr>
          <w:rFonts w:hint="eastAsia" w:ascii="Times New Roman" w:hAnsi="Times New Roman" w:cs="Times New Roman"/>
          <w:b w:val="0"/>
          <w:bCs/>
          <w:kern w:val="2"/>
          <w:sz w:val="32"/>
          <w:szCs w:val="32"/>
          <w:highlight w:val="none"/>
          <w:lang w:val="en-US" w:eastAsia="zh-CN" w:bidi="ar-SA"/>
        </w:rPr>
        <w:t>2</w:t>
      </w:r>
      <w:r>
        <w:rPr>
          <w:rFonts w:hint="default" w:ascii="Times New Roman" w:hAnsi="Times New Roman" w:eastAsia="仿宋_GB2312" w:cs="Times New Roman"/>
          <w:b w:val="0"/>
          <w:bCs/>
          <w:kern w:val="2"/>
          <w:sz w:val="32"/>
          <w:szCs w:val="32"/>
          <w:highlight w:val="none"/>
          <w:lang w:val="en-US" w:eastAsia="zh-CN" w:bidi="ar-SA"/>
        </w:rPr>
        <w:t>辆公务用车燃油、维修、保险等方面支出，主要保障残疾人服务</w:t>
      </w:r>
      <w:r>
        <w:rPr>
          <w:rFonts w:hint="eastAsia" w:ascii="Times New Roman" w:hAnsi="Times New Roman" w:cs="Times New Roman"/>
          <w:b w:val="0"/>
          <w:bCs/>
          <w:kern w:val="2"/>
          <w:sz w:val="32"/>
          <w:szCs w:val="32"/>
          <w:highlight w:val="none"/>
          <w:lang w:val="en-US" w:eastAsia="zh-CN" w:bidi="ar-SA"/>
        </w:rPr>
        <w:t>及</w:t>
      </w:r>
      <w:r>
        <w:rPr>
          <w:rFonts w:hint="default" w:ascii="Times New Roman" w:hAnsi="Times New Roman" w:eastAsia="仿宋_GB2312" w:cs="Times New Roman"/>
          <w:color w:val="000000" w:themeColor="text1"/>
          <w:sz w:val="32"/>
          <w:szCs w:val="32"/>
          <w14:textFill>
            <w14:solidFill>
              <w14:schemeClr w14:val="tx1"/>
            </w14:solidFill>
          </w14:textFill>
        </w:rPr>
        <w:t>残疾人康复及辅具适配</w:t>
      </w:r>
      <w:r>
        <w:rPr>
          <w:rFonts w:hint="default" w:ascii="Times New Roman" w:hAnsi="Times New Roman" w:eastAsia="仿宋_GB2312" w:cs="Times New Roman"/>
          <w:b w:val="0"/>
          <w:bCs/>
          <w:kern w:val="2"/>
          <w:sz w:val="32"/>
          <w:szCs w:val="32"/>
          <w:highlight w:val="none"/>
          <w:lang w:val="en-US" w:eastAsia="zh-CN" w:bidi="ar-SA"/>
        </w:rPr>
        <w:t>等工作开展。</w:t>
      </w:r>
    </w:p>
    <w:p>
      <w:pPr>
        <w:spacing w:line="600" w:lineRule="exact"/>
        <w:ind w:firstLine="640" w:firstLineChars="200"/>
        <w:jc w:val="left"/>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、政府性基金预算支出情况说明</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泸州市残疾人联合会2024</w:t>
      </w:r>
      <w:r>
        <w:rPr>
          <w:rFonts w:hint="default" w:ascii="Times New Roman" w:hAnsi="Times New Roman" w:eastAsia="仿宋_GB2312" w:cs="Times New Roman"/>
          <w:b w:val="0"/>
          <w:bCs/>
          <w:kern w:val="2"/>
          <w:sz w:val="32"/>
          <w:szCs w:val="32"/>
          <w:highlight w:val="none"/>
          <w:lang w:val="en-US" w:eastAsia="zh-CN" w:bidi="ar-SA"/>
        </w:rPr>
        <w:t>年没有使用政府性基金预算拨款安排的支出。</w:t>
      </w:r>
    </w:p>
    <w:p>
      <w:pPr>
        <w:spacing w:line="600" w:lineRule="exact"/>
        <w:ind w:firstLine="640" w:firstLineChars="200"/>
        <w:jc w:val="left"/>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lang w:eastAsia="zh-CN"/>
        </w:rPr>
        <w:t>、国有资本经营预算支出情况说明</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泸州市残疾人联合会2024</w:t>
      </w:r>
      <w:r>
        <w:rPr>
          <w:rFonts w:hint="default" w:ascii="Times New Roman" w:hAnsi="Times New Roman" w:eastAsia="仿宋_GB2312" w:cs="Times New Roman"/>
          <w:b w:val="0"/>
          <w:bCs/>
          <w:kern w:val="2"/>
          <w:sz w:val="32"/>
          <w:szCs w:val="32"/>
          <w:highlight w:val="none"/>
          <w:lang w:val="en-US" w:eastAsia="zh-CN" w:bidi="ar-SA"/>
        </w:rPr>
        <w:t>年没有使用国有资本经营预算拨款安排的支出。</w:t>
      </w:r>
    </w:p>
    <w:p>
      <w:pPr>
        <w:spacing w:line="600" w:lineRule="exact"/>
        <w:ind w:firstLine="640" w:firstLineChars="200"/>
        <w:jc w:val="left"/>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、其他重要事项的情况说明</w:t>
      </w:r>
    </w:p>
    <w:p>
      <w:pPr>
        <w:spacing w:line="580" w:lineRule="exact"/>
        <w:ind w:firstLine="643" w:firstLineChars="200"/>
        <w:rPr>
          <w:rFonts w:hint="default" w:ascii="Times New Roman" w:hAnsi="Times New Roman" w:eastAsia="楷体_GB2312" w:cs="Times New Roman"/>
          <w:b/>
          <w:highlight w:val="none"/>
        </w:rPr>
      </w:pPr>
      <w:r>
        <w:rPr>
          <w:rFonts w:hint="default" w:ascii="Times New Roman" w:hAnsi="Times New Roman" w:eastAsia="楷体_GB2312" w:cs="Times New Roman"/>
          <w:b/>
          <w:kern w:val="2"/>
          <w:sz w:val="32"/>
          <w:szCs w:val="22"/>
          <w:highlight w:val="none"/>
          <w:lang w:val="en-US" w:eastAsia="zh-CN" w:bidi="ar-SA"/>
        </w:rPr>
        <w:t>（一）机关运行经费</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2024</w:t>
      </w:r>
      <w:r>
        <w:rPr>
          <w:rFonts w:hint="default" w:ascii="Times New Roman" w:hAnsi="Times New Roman" w:eastAsia="仿宋_GB2312" w:cs="Times New Roman"/>
          <w:b w:val="0"/>
          <w:bCs/>
          <w:kern w:val="2"/>
          <w:sz w:val="32"/>
          <w:szCs w:val="32"/>
          <w:highlight w:val="none"/>
          <w:lang w:val="en-US" w:eastAsia="zh-CN" w:bidi="ar-SA"/>
        </w:rPr>
        <w:t>年，</w:t>
      </w:r>
      <w:r>
        <w:rPr>
          <w:rFonts w:hint="eastAsia" w:ascii="Times New Roman" w:hAnsi="Times New Roman" w:eastAsia="仿宋_GB2312" w:cs="Times New Roman"/>
          <w:b w:val="0"/>
          <w:bCs/>
          <w:kern w:val="2"/>
          <w:sz w:val="32"/>
          <w:szCs w:val="32"/>
          <w:highlight w:val="none"/>
          <w:lang w:val="en-US" w:eastAsia="zh-CN" w:bidi="ar-SA"/>
        </w:rPr>
        <w:t>泸州市残疾人联合会机关</w:t>
      </w:r>
      <w:r>
        <w:rPr>
          <w:rFonts w:hint="default" w:ascii="Times New Roman" w:hAnsi="Times New Roman" w:eastAsia="仿宋_GB2312" w:cs="Times New Roman"/>
          <w:b w:val="0"/>
          <w:bCs/>
          <w:kern w:val="2"/>
          <w:sz w:val="32"/>
          <w:szCs w:val="32"/>
          <w:highlight w:val="none"/>
          <w:lang w:val="en-US" w:eastAsia="zh-CN" w:bidi="ar-SA"/>
        </w:rPr>
        <w:t>运行经费财政拨款预算为</w:t>
      </w:r>
      <w:r>
        <w:rPr>
          <w:rFonts w:hint="eastAsia" w:ascii="Times New Roman" w:hAnsi="Times New Roman" w:eastAsia="仿宋_GB2312" w:cs="Times New Roman"/>
          <w:b w:val="0"/>
          <w:bCs/>
          <w:sz w:val="32"/>
          <w:szCs w:val="32"/>
          <w:highlight w:val="none"/>
          <w:lang w:val="en-US" w:eastAsia="zh-CN"/>
        </w:rPr>
        <w:t>151.5</w:t>
      </w:r>
      <w:r>
        <w:rPr>
          <w:rFonts w:hint="default" w:ascii="Times New Roman" w:hAnsi="Times New Roman" w:eastAsia="仿宋_GB2312" w:cs="Times New Roman"/>
          <w:b w:val="0"/>
          <w:bCs/>
          <w:kern w:val="2"/>
          <w:sz w:val="32"/>
          <w:szCs w:val="32"/>
          <w:highlight w:val="none"/>
          <w:lang w:val="en-US" w:eastAsia="zh-CN" w:bidi="ar-SA"/>
        </w:rPr>
        <w:t>万元，比202</w:t>
      </w:r>
      <w:r>
        <w:rPr>
          <w:rFonts w:hint="eastAsia" w:ascii="Times New Roman" w:hAnsi="Times New Roman" w:eastAsia="仿宋_GB2312" w:cs="Times New Roman"/>
          <w:b w:val="0"/>
          <w:bCs/>
          <w:kern w:val="2"/>
          <w:sz w:val="32"/>
          <w:szCs w:val="32"/>
          <w:highlight w:val="none"/>
          <w:lang w:val="en-US" w:eastAsia="zh-CN" w:bidi="ar-SA"/>
        </w:rPr>
        <w:t>3</w:t>
      </w:r>
      <w:r>
        <w:rPr>
          <w:rFonts w:hint="default" w:ascii="Times New Roman" w:hAnsi="Times New Roman" w:eastAsia="仿宋_GB2312" w:cs="Times New Roman"/>
          <w:b w:val="0"/>
          <w:bCs/>
          <w:kern w:val="2"/>
          <w:sz w:val="32"/>
          <w:szCs w:val="32"/>
          <w:highlight w:val="none"/>
          <w:lang w:val="en-US" w:eastAsia="zh-CN" w:bidi="ar-SA"/>
        </w:rPr>
        <w:t>年预算</w:t>
      </w:r>
      <w:r>
        <w:rPr>
          <w:rFonts w:hint="eastAsia" w:ascii="Times New Roman" w:hAnsi="Times New Roman" w:eastAsia="仿宋_GB2312" w:cs="Times New Roman"/>
          <w:b w:val="0"/>
          <w:bCs/>
          <w:kern w:val="2"/>
          <w:sz w:val="32"/>
          <w:szCs w:val="32"/>
          <w:highlight w:val="none"/>
          <w:lang w:val="en-US" w:eastAsia="zh-CN" w:bidi="ar-SA"/>
        </w:rPr>
        <w:t>增长19.73</w:t>
      </w:r>
      <w:r>
        <w:rPr>
          <w:rFonts w:hint="default" w:ascii="Times New Roman" w:hAnsi="Times New Roman" w:eastAsia="仿宋_GB2312" w:cs="Times New Roman"/>
          <w:b w:val="0"/>
          <w:bCs/>
          <w:kern w:val="2"/>
          <w:sz w:val="32"/>
          <w:szCs w:val="32"/>
          <w:highlight w:val="none"/>
          <w:lang w:val="en-US" w:eastAsia="zh-CN" w:bidi="ar-SA"/>
        </w:rPr>
        <w:t>万元，</w:t>
      </w:r>
      <w:r>
        <w:rPr>
          <w:rFonts w:hint="eastAsia" w:ascii="Times New Roman" w:hAnsi="Times New Roman" w:eastAsia="仿宋_GB2312" w:cs="Times New Roman"/>
          <w:b w:val="0"/>
          <w:bCs/>
          <w:kern w:val="2"/>
          <w:sz w:val="32"/>
          <w:szCs w:val="32"/>
          <w:highlight w:val="none"/>
          <w:lang w:val="en-US" w:eastAsia="zh-CN" w:bidi="ar-SA"/>
        </w:rPr>
        <w:t>增长14.97</w:t>
      </w:r>
      <w:r>
        <w:rPr>
          <w:rFonts w:hint="default" w:ascii="Times New Roman" w:hAnsi="Times New Roman" w:eastAsia="仿宋_GB2312" w:cs="Times New Roman"/>
          <w:b w:val="0"/>
          <w:bCs/>
          <w:kern w:val="2"/>
          <w:sz w:val="32"/>
          <w:szCs w:val="32"/>
          <w:highlight w:val="none"/>
          <w:lang w:val="en-US" w:eastAsia="zh-CN" w:bidi="ar-SA"/>
        </w:rPr>
        <w:t>%。主要原因</w:t>
      </w:r>
      <w:r>
        <w:rPr>
          <w:rFonts w:hint="eastAsia" w:ascii="Times New Roman" w:hAnsi="Times New Roman" w:eastAsia="仿宋_GB2312" w:cs="Times New Roman"/>
          <w:b w:val="0"/>
          <w:bCs/>
          <w:kern w:val="2"/>
          <w:sz w:val="32"/>
          <w:szCs w:val="32"/>
          <w:highlight w:val="none"/>
          <w:lang w:val="en-US" w:eastAsia="zh-CN" w:bidi="ar-SA"/>
        </w:rPr>
        <w:t>：一是市残联机关综合定额标准提高；二是人员增加，定额公用经费增加；三是新增其他运转缺口补助经费（年休未休补助）列入公用经费。</w:t>
      </w:r>
    </w:p>
    <w:p>
      <w:pPr>
        <w:spacing w:line="580" w:lineRule="exact"/>
        <w:ind w:firstLine="643" w:firstLineChars="200"/>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（二）政府采购情况</w:t>
      </w: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2024年，</w:t>
      </w:r>
      <w:r>
        <w:rPr>
          <w:rFonts w:hint="eastAsia" w:ascii="Times New Roman" w:hAnsi="Times New Roman" w:eastAsia="仿宋_GB2312" w:cs="Times New Roman"/>
          <w:b w:val="0"/>
          <w:bCs/>
          <w:kern w:val="2"/>
          <w:sz w:val="32"/>
          <w:szCs w:val="32"/>
          <w:highlight w:val="none"/>
          <w:lang w:val="en-US" w:eastAsia="zh-CN" w:bidi="ar-SA"/>
        </w:rPr>
        <w:t>泸州市残疾人联合会</w:t>
      </w:r>
      <w:r>
        <w:rPr>
          <w:rFonts w:hint="default" w:ascii="Times New Roman" w:hAnsi="Times New Roman" w:eastAsia="仿宋_GB2312" w:cs="Times New Roman"/>
          <w:b w:val="0"/>
          <w:bCs/>
          <w:kern w:val="2"/>
          <w:sz w:val="32"/>
          <w:szCs w:val="32"/>
          <w:highlight w:val="none"/>
          <w:lang w:val="en-US" w:eastAsia="zh-CN" w:bidi="ar-SA"/>
        </w:rPr>
        <w:t>安排政府采购预算</w:t>
      </w:r>
      <w:r>
        <w:rPr>
          <w:rFonts w:hint="eastAsia" w:ascii="Times New Roman" w:hAnsi="Times New Roman" w:eastAsia="仿宋_GB2312" w:cs="Times New Roman"/>
          <w:b w:val="0"/>
          <w:bCs/>
          <w:kern w:val="2"/>
          <w:sz w:val="32"/>
          <w:szCs w:val="32"/>
          <w:highlight w:val="none"/>
          <w:lang w:val="en-US" w:eastAsia="zh-CN" w:bidi="ar-SA"/>
        </w:rPr>
        <w:t>50</w:t>
      </w:r>
      <w:r>
        <w:rPr>
          <w:rFonts w:hint="default" w:ascii="Times New Roman" w:hAnsi="Times New Roman" w:eastAsia="仿宋_GB2312" w:cs="Times New Roman"/>
          <w:b w:val="0"/>
          <w:bCs/>
          <w:kern w:val="2"/>
          <w:sz w:val="32"/>
          <w:szCs w:val="32"/>
          <w:highlight w:val="none"/>
          <w:lang w:val="en-US" w:eastAsia="zh-CN" w:bidi="ar-SA"/>
        </w:rPr>
        <w:t>万元，主要用于采购残疾人职业技能和实用技术培训</w:t>
      </w:r>
      <w:r>
        <w:rPr>
          <w:rFonts w:hint="eastAsia" w:ascii="Times New Roman" w:hAnsi="Times New Roman" w:eastAsia="仿宋_GB2312" w:cs="Times New Roman"/>
          <w:b w:val="0"/>
          <w:bCs/>
          <w:kern w:val="2"/>
          <w:sz w:val="32"/>
          <w:szCs w:val="32"/>
          <w:highlight w:val="none"/>
          <w:lang w:val="en-US" w:eastAsia="zh-CN" w:bidi="ar-SA"/>
        </w:rPr>
        <w:t>，采购品目为其他就业服务，</w:t>
      </w:r>
      <w:r>
        <w:rPr>
          <w:rFonts w:hint="default" w:ascii="Times New Roman" w:hAnsi="Times New Roman" w:eastAsia="仿宋_GB2312" w:cs="Times New Roman"/>
          <w:b w:val="0"/>
          <w:bCs/>
          <w:kern w:val="2"/>
          <w:sz w:val="32"/>
          <w:szCs w:val="32"/>
          <w:highlight w:val="none"/>
          <w:lang w:val="en-US" w:eastAsia="zh-CN" w:bidi="ar-SA"/>
        </w:rPr>
        <w:t>授予中小企业的合同金额占政府采购支出总金额</w:t>
      </w:r>
      <w:r>
        <w:rPr>
          <w:rFonts w:hint="eastAsia" w:ascii="Times New Roman" w:hAnsi="Times New Roman" w:eastAsia="仿宋_GB2312" w:cs="Times New Roman"/>
          <w:b w:val="0"/>
          <w:bCs/>
          <w:kern w:val="2"/>
          <w:sz w:val="32"/>
          <w:szCs w:val="32"/>
          <w:highlight w:val="none"/>
          <w:lang w:val="en-US" w:eastAsia="zh-CN" w:bidi="ar-SA"/>
        </w:rPr>
        <w:t>的100%。</w:t>
      </w:r>
    </w:p>
    <w:p>
      <w:pPr>
        <w:spacing w:line="580" w:lineRule="exact"/>
        <w:ind w:firstLine="643" w:firstLineChars="200"/>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（三）国有资产占有使用情况</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截至202</w:t>
      </w:r>
      <w:r>
        <w:rPr>
          <w:rFonts w:hint="eastAsia" w:ascii="Times New Roman" w:hAnsi="Times New Roman" w:eastAsia="仿宋_GB2312" w:cs="Times New Roman"/>
          <w:b w:val="0"/>
          <w:bCs/>
          <w:kern w:val="2"/>
          <w:sz w:val="32"/>
          <w:szCs w:val="32"/>
          <w:highlight w:val="none"/>
          <w:lang w:val="en-US" w:eastAsia="zh-CN" w:bidi="ar-SA"/>
        </w:rPr>
        <w:t>3</w:t>
      </w:r>
      <w:r>
        <w:rPr>
          <w:rFonts w:hint="default" w:ascii="Times New Roman" w:hAnsi="Times New Roman" w:eastAsia="仿宋_GB2312" w:cs="Times New Roman"/>
          <w:b w:val="0"/>
          <w:bCs/>
          <w:kern w:val="2"/>
          <w:sz w:val="32"/>
          <w:szCs w:val="32"/>
          <w:highlight w:val="none"/>
          <w:lang w:val="en-US" w:eastAsia="zh-CN" w:bidi="ar-SA"/>
        </w:rPr>
        <w:t>年底，</w:t>
      </w:r>
      <w:r>
        <w:rPr>
          <w:rFonts w:hint="eastAsia" w:ascii="Times New Roman" w:hAnsi="Times New Roman" w:eastAsia="仿宋_GB2312" w:cs="Times New Roman"/>
          <w:b w:val="0"/>
          <w:bCs/>
          <w:kern w:val="2"/>
          <w:sz w:val="32"/>
          <w:szCs w:val="32"/>
          <w:highlight w:val="none"/>
          <w:lang w:val="en-US" w:eastAsia="zh-CN" w:bidi="ar-SA"/>
        </w:rPr>
        <w:t>泸州市残疾人联合会</w:t>
      </w:r>
      <w:r>
        <w:rPr>
          <w:rFonts w:hint="default" w:ascii="Times New Roman" w:hAnsi="Times New Roman" w:eastAsia="仿宋_GB2312" w:cs="Times New Roman"/>
          <w:b w:val="0"/>
          <w:bCs/>
          <w:kern w:val="2"/>
          <w:sz w:val="32"/>
          <w:szCs w:val="32"/>
          <w:highlight w:val="none"/>
          <w:lang w:val="en-US" w:eastAsia="zh-CN" w:bidi="ar-SA"/>
        </w:rPr>
        <w:t>共有车辆</w:t>
      </w:r>
      <w:r>
        <w:rPr>
          <w:rFonts w:hint="eastAsia" w:ascii="Times New Roman" w:hAnsi="Times New Roman" w:eastAsia="仿宋_GB2312" w:cs="Times New Roman"/>
          <w:b w:val="0"/>
          <w:bCs/>
          <w:kern w:val="2"/>
          <w:sz w:val="32"/>
          <w:szCs w:val="32"/>
          <w:highlight w:val="none"/>
          <w:lang w:val="en-US" w:eastAsia="zh-CN" w:bidi="ar-SA"/>
        </w:rPr>
        <w:t>2</w:t>
      </w:r>
      <w:r>
        <w:rPr>
          <w:rFonts w:hint="default" w:ascii="Times New Roman" w:hAnsi="Times New Roman" w:eastAsia="仿宋_GB2312" w:cs="Times New Roman"/>
          <w:b w:val="0"/>
          <w:bCs/>
          <w:kern w:val="2"/>
          <w:sz w:val="32"/>
          <w:szCs w:val="32"/>
          <w:highlight w:val="none"/>
          <w:lang w:val="en-US" w:eastAsia="zh-CN" w:bidi="ar-SA"/>
        </w:rPr>
        <w:t>辆</w:t>
      </w:r>
      <w:r>
        <w:rPr>
          <w:rFonts w:hint="eastAsia" w:ascii="Times New Roman" w:hAnsi="Times New Roman" w:eastAsia="仿宋_GB2312" w:cs="Times New Roman"/>
          <w:b w:val="0"/>
          <w:bCs/>
          <w:kern w:val="2"/>
          <w:sz w:val="32"/>
          <w:szCs w:val="3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其中</w:t>
      </w:r>
      <w:r>
        <w:rPr>
          <w:rFonts w:hint="eastAsia" w:ascii="Times New Roman" w:hAnsi="Times New Roman" w:eastAsia="仿宋_GB2312" w:cs="Times New Roman"/>
          <w:b w:val="0"/>
          <w:bCs/>
          <w:kern w:val="2"/>
          <w:sz w:val="32"/>
          <w:szCs w:val="3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单位价值200万元以上大型设备</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台（套）。</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2024</w:t>
      </w:r>
      <w:r>
        <w:rPr>
          <w:rFonts w:hint="default" w:ascii="Times New Roman" w:hAnsi="Times New Roman" w:eastAsia="仿宋_GB2312" w:cs="Times New Roman"/>
          <w:b w:val="0"/>
          <w:bCs/>
          <w:kern w:val="2"/>
          <w:sz w:val="32"/>
          <w:szCs w:val="32"/>
          <w:highlight w:val="none"/>
          <w:lang w:val="en-US" w:eastAsia="zh-CN" w:bidi="ar-SA"/>
        </w:rPr>
        <w:t>年单位预算未安排购置车辆及单位价值200万元以上大型设备。</w:t>
      </w:r>
    </w:p>
    <w:p>
      <w:pPr>
        <w:spacing w:line="580" w:lineRule="exact"/>
        <w:ind w:firstLine="643" w:firstLineChars="200"/>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（四）绩效目标设置情况</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泸州市残疾人联合会开展绩效目标管理的项目10个，涉及预算3094.05万元。其中：人员类别项目6个，涉及预算701.15万元；运转类项目9个，涉及预算135.39万元；特定目标类项目13个，涉及预算2257.50万</w:t>
      </w:r>
      <w:bookmarkStart w:id="0" w:name="_GoBack"/>
      <w:r>
        <w:rPr>
          <w:rFonts w:hint="eastAsia" w:ascii="Times New Roman" w:hAnsi="Times New Roman" w:eastAsia="仿宋_GB2312" w:cs="Times New Roman"/>
          <w:b w:val="0"/>
          <w:bCs/>
          <w:kern w:val="2"/>
          <w:sz w:val="32"/>
          <w:szCs w:val="32"/>
          <w:highlight w:val="none"/>
          <w:lang w:val="en-US" w:eastAsia="zh-CN" w:bidi="ar-SA"/>
        </w:rPr>
        <w:t>元</w:t>
      </w:r>
      <w:bookmarkEnd w:id="0"/>
      <w:r>
        <w:rPr>
          <w:rFonts w:hint="eastAsia" w:ascii="Times New Roman" w:hAnsi="Times New Roman" w:eastAsia="仿宋_GB2312" w:cs="Times New Roman"/>
          <w:b w:val="0"/>
          <w:bCs/>
          <w:kern w:val="2"/>
          <w:sz w:val="32"/>
          <w:szCs w:val="32"/>
          <w:highlight w:val="none"/>
          <w:lang w:val="en-US" w:eastAsia="zh-CN" w:bidi="ar-SA"/>
        </w:rPr>
        <w:t>。</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简体" w:cs="Times New Roman"/>
          <w:b w:val="0"/>
          <w:bCs/>
          <w:sz w:val="48"/>
          <w:szCs w:val="48"/>
          <w:highlight w:val="none"/>
          <w:lang w:val="en-US" w:eastAsia="zh-CN"/>
        </w:rPr>
      </w:pPr>
      <w:r>
        <w:rPr>
          <w:rFonts w:hint="eastAsia" w:ascii="Times New Roman" w:hAnsi="Times New Roman" w:eastAsia="方正小标宋简体" w:cs="Times New Roman"/>
          <w:b w:val="0"/>
          <w:bCs/>
          <w:sz w:val="48"/>
          <w:szCs w:val="48"/>
          <w:highlight w:val="none"/>
          <w:lang w:val="en-US" w:eastAsia="zh-CN"/>
        </w:rPr>
        <w:t>第三部分  名词解释</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580" w:lineRule="exact"/>
        <w:rPr>
          <w:rFonts w:hint="default" w:ascii="Times New Roman" w:hAnsi="Times New Roman" w:eastAsia="仿宋_GB2312" w:cs="Times New Roman"/>
          <w:b w:val="0"/>
          <w:bCs/>
          <w:kern w:val="2"/>
          <w:sz w:val="32"/>
          <w:szCs w:val="32"/>
          <w:highlight w:val="none"/>
          <w:lang w:val="en-US" w:eastAsia="zh-CN" w:bidi="ar-SA"/>
        </w:rPr>
      </w:pPr>
    </w:p>
    <w:p>
      <w:pPr>
        <w:spacing w:line="580" w:lineRule="exact"/>
        <w:rPr>
          <w:rFonts w:hint="default" w:ascii="Times New Roman" w:hAnsi="Times New Roman" w:eastAsia="仿宋_GB2312" w:cs="Times New Roman"/>
          <w:b w:val="0"/>
          <w:bCs/>
          <w:kern w:val="2"/>
          <w:sz w:val="32"/>
          <w:szCs w:val="32"/>
          <w:highlight w:val="none"/>
          <w:lang w:val="en-US" w:eastAsia="zh-CN" w:bidi="ar-SA"/>
        </w:rPr>
      </w:pPr>
    </w:p>
    <w:p>
      <w:pPr>
        <w:spacing w:line="580" w:lineRule="exact"/>
        <w:rPr>
          <w:rFonts w:hint="default" w:ascii="Times New Roman" w:hAnsi="Times New Roman" w:eastAsia="仿宋_GB2312" w:cs="Times New Roman"/>
          <w:b w:val="0"/>
          <w:bCs/>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（一）一般公共预算拨款收入：指市级财政当年拨付的资金。</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（二）社会保障和就业支出：反映政府在社会保障和就业方面的支出。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（三）医疗卫生与计划生育支出：反映政府医疗卫生和计划生育管理方面的支出。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（四）住房和保障支出：集中反映政府用于住房方面的支出。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（五）未归口管理的行政单位离退休</w:t>
      </w:r>
      <w:r>
        <w:rPr>
          <w:rFonts w:hint="eastAsia" w:ascii="Times New Roman" w:hAnsi="Times New Roman" w:cs="Times New Roman"/>
          <w:b w:val="0"/>
          <w:bCs/>
          <w:kern w:val="2"/>
          <w:sz w:val="32"/>
          <w:szCs w:val="3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 xml:space="preserve"> 指未实行归口管理的行政单位（实行公务员管理的事业单位）开支的离退休支出。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（六）机关事业单位基本养老保险缴费支出：反映机关事业单位实施养老保险制度由单位缴纳的基本养老保险费支出。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（七）机关事业单位职业年金缴费支出：反映机关事业单位实施养老保险制度由单位实际缴纳的职业年金支出。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（八）其他社会保障和就业支出：反映其他用于社会保障和就业方面的支出。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（九）行政单位医疗：反映财政部门集中安排的行政单位基本医疗保险缴费经费，未参加医疗保险的行政单位的公费医疗经费，按国家规定享受离休人员、红军老战士待遇人员的医疗经费。</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（十）公务员医疗补助</w:t>
      </w:r>
      <w:r>
        <w:rPr>
          <w:rFonts w:hint="eastAsia" w:ascii="Times New Roman" w:hAnsi="Times New Roman" w:cs="Times New Roman"/>
          <w:b w:val="0"/>
          <w:bCs/>
          <w:kern w:val="2"/>
          <w:sz w:val="32"/>
          <w:szCs w:val="3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 xml:space="preserve"> 反映财政部门集中安排的公务员医疗补助经费。</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（十一）住房公积金</w:t>
      </w:r>
      <w:r>
        <w:rPr>
          <w:rFonts w:hint="eastAsia" w:ascii="Times New Roman" w:hAnsi="Times New Roman" w:cs="Times New Roman"/>
          <w:b w:val="0"/>
          <w:bCs/>
          <w:kern w:val="2"/>
          <w:sz w:val="32"/>
          <w:szCs w:val="3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十二）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十三）“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（十四）基本支出：指为保障机构正常运转、完成日常工作任务而发生的人员支出和公用支出。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（十五）项目支出：指在基本支出之外为完成特定行政任务和事业发展目标所发生的支出。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（十六）上年结转：指以前年度尚未完成，结转到本年仍按原规定用途继续使用的资金。</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楷体_GB2312" w:cs="Times New Roman"/>
          <w:b/>
          <w:sz w:val="32"/>
          <w:highlight w:val="none"/>
          <w:lang w:val="en-US" w:eastAsia="zh-CN"/>
        </w:rPr>
        <w:t>附件：</w:t>
      </w:r>
      <w:r>
        <w:rPr>
          <w:rFonts w:hint="eastAsia" w:ascii="Times New Roman" w:hAnsi="Times New Roman" w:eastAsia="仿宋_GB2312" w:cs="Times New Roman"/>
          <w:b w:val="0"/>
          <w:bCs/>
          <w:kern w:val="2"/>
          <w:sz w:val="32"/>
          <w:szCs w:val="32"/>
          <w:highlight w:val="none"/>
          <w:lang w:val="en-US" w:eastAsia="zh-CN" w:bidi="ar-SA"/>
        </w:rPr>
        <w:t>表1、单位收支总表</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表2、单位收入总表</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表3、单位支出总表</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表4、财政拨款收支预算总表</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表5、财政拨款支出预算表（部门经济分类科目）</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表6、一般公共预算支出预算表</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表7、一般公共预算基本支出预算表</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表8、一般公共预算项目支出预算表</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表9、一般公共预算“三公”经费支出预算表</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表10、政府性基金支出预算表</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表11、政府性基金预算“三公”经费支出预算表</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表12、国有资本经营预算支出预算表</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表13、部门项目支出绩效目标表</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1600" w:firstLineChars="5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cs="Times New Roman"/>
          <w:b w:val="0"/>
          <w:bCs/>
          <w:kern w:val="2"/>
          <w:sz w:val="32"/>
          <w:szCs w:val="32"/>
          <w:highlight w:val="none"/>
          <w:lang w:val="en-US" w:eastAsia="zh-CN" w:bidi="ar-SA"/>
        </w:rPr>
        <w:t>表14、部门整体支出绩效目标表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6BFEF6-2988-4B83-A9B5-2E068D85A6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F50C422-DE3A-4AED-8549-4A60425B0C5F}"/>
  </w:font>
  <w:font w:name="方正小标宋简体">
    <w:panose1 w:val="02000000000000000000"/>
    <w:charset w:val="86"/>
    <w:family w:val="auto"/>
    <w:pitch w:val="default"/>
    <w:sig w:usb0="A00002BF" w:usb1="184F6CFA" w:usb2="00000012" w:usb3="00000000" w:csb0="00040001" w:csb1="00000000"/>
    <w:embedRegular r:id="rId3" w:fontKey="{C3A806A8-FB80-4491-AAF2-928730FFBED8}"/>
  </w:font>
  <w:font w:name="楷体_GB2312">
    <w:panose1 w:val="02010609030101010101"/>
    <w:charset w:val="86"/>
    <w:family w:val="modern"/>
    <w:pitch w:val="default"/>
    <w:sig w:usb0="00000001" w:usb1="080E0000" w:usb2="00000000" w:usb3="00000000" w:csb0="00040000" w:csb1="00000000"/>
    <w:embedRegular r:id="rId4" w:fontKey="{570D8FBD-4469-4AB3-AF98-70A9B725D43F}"/>
  </w:font>
  <w:font w:name="方正仿宋简体">
    <w:panose1 w:val="03000509000000000000"/>
    <w:charset w:val="86"/>
    <w:family w:val="auto"/>
    <w:pitch w:val="default"/>
    <w:sig w:usb0="00000001" w:usb1="080E0000" w:usb2="00000000" w:usb3="00000000" w:csb0="00040000" w:csb1="00000000"/>
    <w:embedRegular r:id="rId5" w:fontKey="{22EC3ACC-7836-4C83-A26E-12317C6D1332}"/>
  </w:font>
  <w:font w:name="方正楷体简体">
    <w:panose1 w:val="03000509000000000000"/>
    <w:charset w:val="86"/>
    <w:family w:val="auto"/>
    <w:pitch w:val="default"/>
    <w:sig w:usb0="00000001" w:usb1="080E0000" w:usb2="00000000" w:usb3="00000000" w:csb0="00040000" w:csb1="00000000"/>
    <w:embedRegular r:id="rId6" w:fontKey="{9B52AEA2-96AB-484A-9DF6-F09805867D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86391"/>
      <w:docPartObj>
        <w:docPartGallery w:val="autotext"/>
      </w:docPartObj>
    </w:sdtPr>
    <w:sdtContent>
      <w:p>
        <w:pPr>
          <w:pStyle w:val="3"/>
          <w:jc w:val="center"/>
        </w:pP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NGZmOWY4NWQwMjJlODg5MDNlMWMyNDlmYzhjNGYifQ=="/>
    <w:docVar w:name="KSO_WPS_MARK_KEY" w:val="12912481-2647-4634-8bf7-8ed6f4dc8342"/>
  </w:docVars>
  <w:rsids>
    <w:rsidRoot w:val="00444FF0"/>
    <w:rsid w:val="000408B6"/>
    <w:rsid w:val="00075A67"/>
    <w:rsid w:val="00080C8D"/>
    <w:rsid w:val="00081C49"/>
    <w:rsid w:val="000C4B13"/>
    <w:rsid w:val="000E7F99"/>
    <w:rsid w:val="00172F34"/>
    <w:rsid w:val="001E3D93"/>
    <w:rsid w:val="001F3A09"/>
    <w:rsid w:val="00203C5D"/>
    <w:rsid w:val="002063A5"/>
    <w:rsid w:val="00233CF6"/>
    <w:rsid w:val="00290250"/>
    <w:rsid w:val="002B4EB8"/>
    <w:rsid w:val="002D445B"/>
    <w:rsid w:val="002E29E8"/>
    <w:rsid w:val="003207E7"/>
    <w:rsid w:val="0033047C"/>
    <w:rsid w:val="0035342F"/>
    <w:rsid w:val="003A4EC9"/>
    <w:rsid w:val="003E2604"/>
    <w:rsid w:val="0041299D"/>
    <w:rsid w:val="00444FF0"/>
    <w:rsid w:val="00446BAC"/>
    <w:rsid w:val="0046461B"/>
    <w:rsid w:val="004F3101"/>
    <w:rsid w:val="00553298"/>
    <w:rsid w:val="005A13CD"/>
    <w:rsid w:val="005E4432"/>
    <w:rsid w:val="00692752"/>
    <w:rsid w:val="00706D4E"/>
    <w:rsid w:val="0076145D"/>
    <w:rsid w:val="00792CBB"/>
    <w:rsid w:val="008B0E8A"/>
    <w:rsid w:val="008C573A"/>
    <w:rsid w:val="008E021C"/>
    <w:rsid w:val="00910B54"/>
    <w:rsid w:val="00927ABE"/>
    <w:rsid w:val="009719AD"/>
    <w:rsid w:val="0097723E"/>
    <w:rsid w:val="00A1709C"/>
    <w:rsid w:val="00A32F8A"/>
    <w:rsid w:val="00A6048B"/>
    <w:rsid w:val="00A813C1"/>
    <w:rsid w:val="00A956C7"/>
    <w:rsid w:val="00A97F7A"/>
    <w:rsid w:val="00AC447A"/>
    <w:rsid w:val="00B325F2"/>
    <w:rsid w:val="00B9715C"/>
    <w:rsid w:val="00BC1DB5"/>
    <w:rsid w:val="00C40672"/>
    <w:rsid w:val="00C46A9F"/>
    <w:rsid w:val="00D75755"/>
    <w:rsid w:val="00D83D31"/>
    <w:rsid w:val="00DA2587"/>
    <w:rsid w:val="00DF6433"/>
    <w:rsid w:val="00E24E33"/>
    <w:rsid w:val="00E45AF2"/>
    <w:rsid w:val="00E46B9A"/>
    <w:rsid w:val="00E77565"/>
    <w:rsid w:val="00E8637A"/>
    <w:rsid w:val="00EB3CA9"/>
    <w:rsid w:val="00F01574"/>
    <w:rsid w:val="00F07F2E"/>
    <w:rsid w:val="00F31006"/>
    <w:rsid w:val="00F57190"/>
    <w:rsid w:val="00FD4BB4"/>
    <w:rsid w:val="059A6914"/>
    <w:rsid w:val="14980E14"/>
    <w:rsid w:val="159643E7"/>
    <w:rsid w:val="19253C11"/>
    <w:rsid w:val="19F63BCA"/>
    <w:rsid w:val="1A5A74D3"/>
    <w:rsid w:val="1D200D91"/>
    <w:rsid w:val="206F42BE"/>
    <w:rsid w:val="280475A7"/>
    <w:rsid w:val="297816E4"/>
    <w:rsid w:val="2B2B6E22"/>
    <w:rsid w:val="317714B4"/>
    <w:rsid w:val="39973B45"/>
    <w:rsid w:val="3D85392A"/>
    <w:rsid w:val="3ED411A7"/>
    <w:rsid w:val="3ED92F73"/>
    <w:rsid w:val="405745EF"/>
    <w:rsid w:val="414C4F70"/>
    <w:rsid w:val="496762A6"/>
    <w:rsid w:val="4A196087"/>
    <w:rsid w:val="4B602D44"/>
    <w:rsid w:val="5386142B"/>
    <w:rsid w:val="54CA7351"/>
    <w:rsid w:val="55B12A68"/>
    <w:rsid w:val="5848149C"/>
    <w:rsid w:val="5CCE1291"/>
    <w:rsid w:val="652E69BA"/>
    <w:rsid w:val="667E340F"/>
    <w:rsid w:val="67A05C6C"/>
    <w:rsid w:val="6C08449F"/>
    <w:rsid w:val="6FEB00F4"/>
    <w:rsid w:val="758D252A"/>
    <w:rsid w:val="7E8E7252"/>
    <w:rsid w:val="7F2C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qFormat/>
    <w:uiPriority w:val="99"/>
    <w:rPr>
      <w:sz w:val="18"/>
      <w:szCs w:val="18"/>
    </w:rPr>
  </w:style>
  <w:style w:type="paragraph" w:customStyle="1" w:styleId="11">
    <w:name w:val="章标题"/>
    <w:basedOn w:val="1"/>
    <w:next w:val="1"/>
    <w:qFormat/>
    <w:uiPriority w:val="0"/>
    <w:pPr>
      <w:widowControl/>
      <w:spacing w:before="158" w:beforeLines="0" w:after="153" w:afterLines="0" w:line="323" w:lineRule="atLeast"/>
      <w:ind w:right="-120"/>
      <w:jc w:val="center"/>
      <w:textAlignment w:val="baseline"/>
    </w:pPr>
    <w:rPr>
      <w:color w:val="FF0000"/>
      <w:kern w:val="0"/>
      <w:sz w:val="18"/>
      <w:szCs w:val="18"/>
    </w:rPr>
  </w:style>
  <w:style w:type="paragraph" w:customStyle="1" w:styleId="12">
    <w:name w:val="正文文本1"/>
    <w:basedOn w:val="13"/>
    <w:qFormat/>
    <w:uiPriority w:val="0"/>
    <w:pPr>
      <w:spacing w:before="93"/>
    </w:pPr>
    <w:rPr>
      <w:rFonts w:ascii="仿宋_GB2312" w:hAnsi="仿宋_GB2312" w:eastAsia="仿宋_GB2312"/>
      <w:sz w:val="30"/>
    </w:rPr>
  </w:style>
  <w:style w:type="paragraph" w:customStyle="1" w:styleId="13">
    <w:name w:val="正文1"/>
    <w:qFormat/>
    <w:uiPriority w:val="0"/>
    <w:pPr>
      <w:widowControl w:val="0"/>
      <w:jc w:val="both"/>
    </w:pPr>
    <w:rPr>
      <w:rFonts w:ascii="Times New Roman" w:hAnsi="Times New Roman" w:eastAsia="宋体" w:cs="Times New Roman"/>
      <w:sz w:val="21"/>
      <w:lang w:val="en-US" w:eastAsia="zh-CN" w:bidi="ar-SA"/>
    </w:rPr>
  </w:style>
  <w:style w:type="character" w:customStyle="1" w:styleId="14">
    <w:name w:val="默认段落字体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5513</Words>
  <Characters>5937</Characters>
  <Lines>17</Lines>
  <Paragraphs>4</Paragraphs>
  <TotalTime>24</TotalTime>
  <ScaleCrop>false</ScaleCrop>
  <LinksUpToDate>false</LinksUpToDate>
  <CharactersWithSpaces>5964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2017-01-11T13:35:00Z</dcterms:created>
  <dc:creator>黄文福</dc:creator>
  <cp:lastModifiedBy>丑妈</cp:lastModifiedBy>
  <cp:lastPrinted>2024-02-05T09:33:00Z</cp:lastPrinted>
  <dcterms:modified xsi:type="dcterms:W3CDTF">2025-02-06T02:28:04Z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4A9CF11C69B54A41B1258C0637DE8956_12</vt:lpwstr>
  </property>
</Properties>
</file>