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Times New Roman" w:hAnsi="Times New Roman" w:eastAsia="方正小标宋简体" w:cs="Times New Roman"/>
          <w:color w:val="auto"/>
          <w:sz w:val="21"/>
          <w:szCs w:val="21"/>
          <w:highlight w:val="none"/>
        </w:rPr>
      </w:pPr>
      <w:bookmarkStart w:id="0" w:name="_Toc15306267"/>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spacing w:line="600" w:lineRule="exact"/>
        <w:jc w:val="center"/>
        <w:outlineLvl w:val="0"/>
        <w:rPr>
          <w:rFonts w:hint="default" w:ascii="Times New Roman" w:hAnsi="Times New Roman" w:eastAsia="方正小标宋简体" w:cs="Times New Roman"/>
          <w:color w:val="auto"/>
          <w:sz w:val="72"/>
          <w:szCs w:val="72"/>
          <w:highlight w:val="none"/>
        </w:rPr>
      </w:pPr>
    </w:p>
    <w:p>
      <w:pPr>
        <w:spacing w:line="600" w:lineRule="exact"/>
        <w:jc w:val="center"/>
        <w:outlineLvl w:val="0"/>
        <w:rPr>
          <w:rFonts w:hint="default" w:ascii="Times New Roman" w:hAnsi="Times New Roman" w:eastAsia="方正小标宋简体" w:cs="Times New Roman"/>
          <w:color w:val="auto"/>
          <w:sz w:val="72"/>
          <w:szCs w:val="72"/>
          <w:highlight w:val="none"/>
        </w:rPr>
      </w:pPr>
      <w:bookmarkStart w:id="67" w:name="_GoBack"/>
      <w:bookmarkEnd w:id="67"/>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1" w:name="_Toc15396597"/>
      <w:bookmarkStart w:id="2" w:name="_Toc15377193"/>
      <w:bookmarkStart w:id="3" w:name="_Toc15378441"/>
      <w:bookmarkStart w:id="4" w:name="_Toc15377425"/>
      <w:bookmarkStart w:id="5" w:name="_Toc15396475"/>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22</w:t>
      </w:r>
      <w:r>
        <w:rPr>
          <w:rFonts w:hint="default" w:ascii="Times New Roman" w:hAnsi="Times New Roman" w:eastAsia="方正小标宋简体" w:cs="Times New Roman"/>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lang w:val="en-US" w:eastAsia="zh-CN"/>
        </w:rPr>
      </w:pPr>
      <w:bookmarkStart w:id="6" w:name="_Toc15377194"/>
      <w:bookmarkStart w:id="7" w:name="_Toc15396598"/>
      <w:bookmarkStart w:id="8" w:name="_Toc15396476"/>
      <w:bookmarkStart w:id="9" w:name="_Toc15378442"/>
      <w:bookmarkStart w:id="10" w:name="_Toc15377426"/>
      <w:r>
        <w:rPr>
          <w:rFonts w:hint="default" w:ascii="Times New Roman" w:hAnsi="Times New Roman" w:eastAsia="方正小标宋简体" w:cs="Times New Roman"/>
          <w:color w:val="auto"/>
          <w:sz w:val="72"/>
          <w:szCs w:val="72"/>
          <w:highlight w:val="none"/>
          <w:lang w:eastAsia="zh-CN"/>
        </w:rPr>
        <w:t>泸州市</w:t>
      </w:r>
      <w:bookmarkEnd w:id="0"/>
      <w:bookmarkStart w:id="11" w:name="_Toc15306268"/>
      <w:r>
        <w:rPr>
          <w:rFonts w:hint="default" w:ascii="Times New Roman" w:hAnsi="Times New Roman" w:eastAsia="方正小标宋简体" w:cs="Times New Roman"/>
          <w:color w:val="auto"/>
          <w:sz w:val="72"/>
          <w:szCs w:val="72"/>
          <w:highlight w:val="none"/>
          <w:lang w:val="en-US" w:eastAsia="zh-CN"/>
        </w:rPr>
        <w:t>残疾人联合会</w:t>
      </w: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lang w:eastAsia="zh-CN"/>
        </w:rPr>
        <w:t>单位</w:t>
      </w:r>
      <w:r>
        <w:rPr>
          <w:rFonts w:hint="default" w:ascii="Times New Roman" w:hAnsi="Times New Roman" w:eastAsia="方正小标宋简体" w:cs="Times New Roman"/>
          <w:color w:val="auto"/>
          <w:sz w:val="72"/>
          <w:szCs w:val="72"/>
          <w:highlight w:val="none"/>
        </w:rPr>
        <w:t>决算</w:t>
      </w:r>
      <w:bookmarkEnd w:id="6"/>
      <w:bookmarkEnd w:id="7"/>
      <w:bookmarkEnd w:id="8"/>
      <w:bookmarkEnd w:id="9"/>
      <w:bookmarkEnd w:id="10"/>
      <w:bookmarkEnd w:id="11"/>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pStyle w:val="11"/>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23</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日</w:t>
      </w:r>
    </w:p>
    <w:p>
      <w:pPr>
        <w:rPr>
          <w:rFonts w:hint="default" w:ascii="Times New Roman" w:hAnsi="Times New Roman" w:cs="Times New Roman"/>
          <w:color w:val="auto"/>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sz w:val="21"/>
          <w:szCs w:val="24"/>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keepNext w:val="0"/>
        <w:keepLines w:val="0"/>
        <w:pageBreakBefore w:val="0"/>
        <w:kinsoku/>
        <w:wordWrap/>
        <w:overflowPunct/>
        <w:topLinePunct w:val="0"/>
        <w:autoSpaceDE/>
        <w:autoSpaceDN/>
        <w:bidi w:val="0"/>
        <w:adjustRightInd/>
        <w:snapToGrid/>
        <w:spacing w:before="0" w:line="560" w:lineRule="exact"/>
        <w:ind w:left="0" w:leftChars="0"/>
        <w:jc w:val="both"/>
        <w:textAlignment w:val="auto"/>
        <w:rPr>
          <w:rFonts w:cstheme="minorBidi"/>
          <w:sz w:val="28"/>
          <w:szCs w:val="28"/>
        </w:rPr>
      </w:pPr>
      <w:r>
        <w:rPr>
          <w:sz w:val="28"/>
          <w:szCs w:val="28"/>
        </w:rPr>
        <w:fldChar w:fldCharType="begin"/>
      </w:r>
      <w:r>
        <w:rPr>
          <w:sz w:val="28"/>
          <w:szCs w:val="28"/>
        </w:rPr>
        <w:instrText xml:space="preserve"> HYPERLINK \l "_Toc15396599" </w:instrText>
      </w:r>
      <w:r>
        <w:rPr>
          <w:sz w:val="28"/>
          <w:szCs w:val="28"/>
        </w:rPr>
        <w:fldChar w:fldCharType="separate"/>
      </w:r>
      <w:r>
        <w:rPr>
          <w:rStyle w:val="19"/>
          <w:rFonts w:hint="eastAsia"/>
          <w:sz w:val="28"/>
          <w:szCs w:val="28"/>
        </w:rPr>
        <w:t>第一部分</w:t>
      </w:r>
      <w:r>
        <w:rPr>
          <w:rStyle w:val="19"/>
          <w:rFonts w:hint="eastAsia"/>
          <w:sz w:val="28"/>
          <w:szCs w:val="28"/>
          <w:lang w:eastAsia="zh-CN"/>
        </w:rPr>
        <w:t>单位</w:t>
      </w:r>
      <w:r>
        <w:rPr>
          <w:rStyle w:val="19"/>
          <w:rFonts w:hint="eastAsia"/>
          <w:sz w:val="28"/>
          <w:szCs w:val="28"/>
        </w:rPr>
        <w:t>概况</w:t>
      </w:r>
      <w:r>
        <w:rPr>
          <w:sz w:val="28"/>
          <w:szCs w:val="28"/>
        </w:rPr>
        <w:tab/>
      </w:r>
      <w:r>
        <w:rPr>
          <w:rFonts w:hint="eastAsia"/>
          <w:sz w:val="28"/>
          <w:szCs w:val="28"/>
          <w:lang w:val="en-US" w:eastAsia="zh-CN"/>
        </w:rPr>
        <w:t>1</w:t>
      </w:r>
      <w:r>
        <w:rPr>
          <w:rFonts w:hint="eastAsia"/>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"_Toc15396600" </w:instrText>
      </w:r>
      <w:r>
        <w:rPr>
          <w:sz w:val="21"/>
          <w:szCs w:val="24"/>
        </w:rPr>
        <w:fldChar w:fldCharType="separate"/>
      </w:r>
      <w:r>
        <w:rPr>
          <w:rStyle w:val="19"/>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"_Toc15396601" </w:instrText>
      </w:r>
      <w:r>
        <w:rPr>
          <w:sz w:val="21"/>
          <w:szCs w:val="24"/>
        </w:rPr>
        <w:fldChar w:fldCharType="separate"/>
      </w:r>
      <w:r>
        <w:rPr>
          <w:rStyle w:val="19"/>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p>
    <w:p>
      <w:pPr>
        <w:pStyle w:val="11"/>
        <w:keepNext w:val="0"/>
        <w:keepLines w:val="0"/>
        <w:pageBreakBefore w:val="0"/>
        <w:kinsoku/>
        <w:wordWrap/>
        <w:overflowPunct/>
        <w:topLinePunct w:val="0"/>
        <w:autoSpaceDE/>
        <w:autoSpaceDN/>
        <w:bidi w:val="0"/>
        <w:adjustRightInd/>
        <w:snapToGrid/>
        <w:spacing w:before="0" w:line="560" w:lineRule="exact"/>
        <w:ind w:left="0" w:leftChars="0"/>
        <w:jc w:val="both"/>
        <w:textAlignment w:val="auto"/>
        <w:rPr>
          <w:sz w:val="28"/>
          <w:szCs w:val="28"/>
        </w:rPr>
      </w:pPr>
      <w:r>
        <w:rPr>
          <w:sz w:val="28"/>
          <w:szCs w:val="28"/>
        </w:rPr>
        <w:fldChar w:fldCharType="begin"/>
      </w:r>
      <w:r>
        <w:rPr>
          <w:sz w:val="28"/>
          <w:szCs w:val="28"/>
        </w:rPr>
        <w:instrText xml:space="preserve"> HYPERLINK \l "_Toc15396602" </w:instrText>
      </w:r>
      <w:r>
        <w:rPr>
          <w:sz w:val="28"/>
          <w:szCs w:val="28"/>
        </w:rPr>
        <w:fldChar w:fldCharType="separate"/>
      </w:r>
      <w:r>
        <w:rPr>
          <w:rStyle w:val="19"/>
          <w:rFonts w:hint="eastAsia"/>
          <w:sz w:val="28"/>
          <w:szCs w:val="28"/>
        </w:rPr>
        <w:t>第二部分</w:t>
      </w:r>
      <w:r>
        <w:rPr>
          <w:rStyle w:val="19"/>
          <w:sz w:val="28"/>
          <w:szCs w:val="28"/>
        </w:rPr>
        <w:t xml:space="preserve"> </w:t>
      </w:r>
      <w:r>
        <w:rPr>
          <w:rStyle w:val="19"/>
          <w:rFonts w:hint="eastAsia"/>
          <w:sz w:val="28"/>
          <w:szCs w:val="28"/>
        </w:rPr>
        <w:t>202</w:t>
      </w:r>
      <w:r>
        <w:rPr>
          <w:rStyle w:val="19"/>
          <w:rFonts w:hint="eastAsia"/>
          <w:sz w:val="28"/>
          <w:szCs w:val="28"/>
          <w:lang w:val="en-US" w:eastAsia="zh-CN"/>
        </w:rPr>
        <w:t>2</w:t>
      </w:r>
      <w:r>
        <w:rPr>
          <w:rStyle w:val="19"/>
          <w:rFonts w:hint="eastAsia"/>
          <w:sz w:val="28"/>
          <w:szCs w:val="28"/>
        </w:rPr>
        <w:t>年度</w:t>
      </w:r>
      <w:r>
        <w:rPr>
          <w:rStyle w:val="19"/>
          <w:rFonts w:hint="eastAsia"/>
          <w:sz w:val="28"/>
          <w:szCs w:val="28"/>
          <w:lang w:eastAsia="zh-CN"/>
        </w:rPr>
        <w:t>单位</w:t>
      </w:r>
      <w:r>
        <w:rPr>
          <w:rStyle w:val="19"/>
          <w:rFonts w:hint="eastAsia"/>
          <w:sz w:val="28"/>
          <w:szCs w:val="28"/>
        </w:rPr>
        <w:t>决算情况说明</w:t>
      </w:r>
      <w:r>
        <w:rPr>
          <w:rStyle w:val="19"/>
          <w:sz w:val="28"/>
          <w:szCs w:val="28"/>
        </w:rPr>
        <w:tab/>
      </w:r>
      <w:r>
        <w:rPr>
          <w:sz w:val="28"/>
          <w:szCs w:val="28"/>
        </w:rPr>
        <w:fldChar w:fldCharType="begin"/>
      </w:r>
      <w:r>
        <w:rPr>
          <w:sz w:val="28"/>
          <w:szCs w:val="28"/>
        </w:rPr>
        <w:instrText xml:space="preserve"> PAGEREF _Toc15396602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"_Toc15396603" </w:instrText>
      </w:r>
      <w:r>
        <w:rPr>
          <w:sz w:val="21"/>
          <w:szCs w:val="24"/>
        </w:rPr>
        <w:fldChar w:fldCharType="separate"/>
      </w:r>
      <w:r>
        <w:rPr>
          <w:rStyle w:val="19"/>
          <w:rFonts w:hint="eastAsia" w:ascii="仿宋" w:hAnsi="仿宋" w:eastAsia="仿宋" w:cstheme="majorBidi"/>
          <w:bCs/>
          <w:sz w:val="28"/>
          <w:szCs w:val="28"/>
        </w:rPr>
        <w:t>一、</w:t>
      </w:r>
      <w:r>
        <w:rPr>
          <w:rStyle w:val="19"/>
          <w:rFonts w:hint="eastAsia" w:ascii="仿宋" w:hAnsi="仿宋" w:eastAsia="仿宋"/>
          <w:sz w:val="28"/>
          <w:szCs w:val="28"/>
        </w:rPr>
        <w:t>收</w:t>
      </w:r>
      <w:r>
        <w:rPr>
          <w:rStyle w:val="19"/>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"_Toc15396604" </w:instrText>
      </w:r>
      <w:r>
        <w:rPr>
          <w:sz w:val="21"/>
          <w:szCs w:val="24"/>
        </w:rPr>
        <w:fldChar w:fldCharType="separate"/>
      </w:r>
      <w:r>
        <w:rPr>
          <w:rStyle w:val="19"/>
          <w:rFonts w:hint="eastAsia" w:ascii="仿宋" w:hAnsi="仿宋" w:eastAsia="仿宋" w:cstheme="majorBidi"/>
          <w:bCs/>
          <w:sz w:val="28"/>
          <w:szCs w:val="28"/>
        </w:rPr>
        <w:t>二、</w:t>
      </w:r>
      <w:r>
        <w:rPr>
          <w:rStyle w:val="19"/>
          <w:rFonts w:hint="eastAsia" w:ascii="仿宋" w:hAnsi="仿宋" w:eastAsia="仿宋"/>
          <w:sz w:val="28"/>
          <w:szCs w:val="28"/>
        </w:rPr>
        <w:t>收</w:t>
      </w:r>
      <w:r>
        <w:rPr>
          <w:rStyle w:val="19"/>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"_Toc15396605" </w:instrText>
      </w:r>
      <w:r>
        <w:rPr>
          <w:sz w:val="21"/>
          <w:szCs w:val="24"/>
        </w:rPr>
        <w:fldChar w:fldCharType="separate"/>
      </w:r>
      <w:r>
        <w:rPr>
          <w:rStyle w:val="19"/>
          <w:rFonts w:hint="eastAsia" w:ascii="仿宋" w:hAnsi="仿宋" w:eastAsia="仿宋" w:cstheme="majorBidi"/>
          <w:bCs/>
          <w:sz w:val="28"/>
          <w:szCs w:val="28"/>
        </w:rPr>
        <w:t>三、</w:t>
      </w:r>
      <w:r>
        <w:rPr>
          <w:rStyle w:val="19"/>
          <w:rFonts w:hint="eastAsia" w:ascii="仿宋" w:hAnsi="仿宋" w:eastAsia="仿宋"/>
          <w:sz w:val="28"/>
          <w:szCs w:val="28"/>
        </w:rPr>
        <w:t>支</w:t>
      </w:r>
      <w:r>
        <w:rPr>
          <w:rStyle w:val="19"/>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"_Toc15396606" </w:instrText>
      </w:r>
      <w:r>
        <w:rPr>
          <w:sz w:val="21"/>
          <w:szCs w:val="24"/>
        </w:rPr>
        <w:fldChar w:fldCharType="separate"/>
      </w:r>
      <w:r>
        <w:rPr>
          <w:rStyle w:val="19"/>
          <w:rFonts w:hint="eastAsia" w:ascii="仿宋" w:hAnsi="仿宋" w:eastAsia="仿宋"/>
          <w:sz w:val="28"/>
          <w:szCs w:val="28"/>
        </w:rPr>
        <w:t>四、财</w:t>
      </w:r>
      <w:r>
        <w:rPr>
          <w:rStyle w:val="19"/>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"_Toc15396607" </w:instrText>
      </w:r>
      <w:r>
        <w:rPr>
          <w:sz w:val="21"/>
          <w:szCs w:val="24"/>
        </w:rPr>
        <w:fldChar w:fldCharType="separate"/>
      </w:r>
      <w:r>
        <w:rPr>
          <w:rStyle w:val="19"/>
          <w:rFonts w:hint="eastAsia" w:ascii="仿宋" w:hAnsi="仿宋" w:eastAsia="仿宋"/>
          <w:sz w:val="28"/>
          <w:szCs w:val="28"/>
        </w:rPr>
        <w:t>五、一</w:t>
      </w:r>
      <w:r>
        <w:rPr>
          <w:rStyle w:val="19"/>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"_Toc15396608" </w:instrText>
      </w:r>
      <w:r>
        <w:rPr>
          <w:sz w:val="21"/>
          <w:szCs w:val="24"/>
        </w:rPr>
        <w:fldChar w:fldCharType="separate"/>
      </w:r>
      <w:r>
        <w:rPr>
          <w:rStyle w:val="19"/>
          <w:rFonts w:hint="eastAsia" w:ascii="仿宋" w:hAnsi="仿宋" w:eastAsia="仿宋"/>
          <w:sz w:val="28"/>
          <w:szCs w:val="28"/>
        </w:rPr>
        <w:t>六、一</w:t>
      </w:r>
      <w:r>
        <w:rPr>
          <w:rStyle w:val="19"/>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"_Toc15396609" </w:instrText>
      </w:r>
      <w:r>
        <w:rPr>
          <w:sz w:val="21"/>
          <w:szCs w:val="24"/>
        </w:rPr>
        <w:fldChar w:fldCharType="separate"/>
      </w:r>
      <w:r>
        <w:rPr>
          <w:rStyle w:val="19"/>
          <w:rFonts w:hint="eastAsia" w:ascii="仿宋" w:hAnsi="仿宋" w:eastAsia="仿宋"/>
          <w:sz w:val="28"/>
          <w:szCs w:val="28"/>
        </w:rPr>
        <w:t>七、</w:t>
      </w:r>
      <w:r>
        <w:rPr>
          <w:rStyle w:val="19"/>
          <w:rFonts w:ascii="仿宋" w:hAnsi="仿宋" w:eastAsia="仿宋"/>
          <w:sz w:val="28"/>
          <w:szCs w:val="28"/>
        </w:rPr>
        <w:t>“</w:t>
      </w:r>
      <w:r>
        <w:rPr>
          <w:rStyle w:val="19"/>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"_Toc15396610" </w:instrText>
      </w:r>
      <w:r>
        <w:rPr>
          <w:sz w:val="21"/>
          <w:szCs w:val="24"/>
        </w:rPr>
        <w:fldChar w:fldCharType="separate"/>
      </w:r>
      <w:r>
        <w:rPr>
          <w:rStyle w:val="19"/>
          <w:rFonts w:hint="eastAsia" w:ascii="仿宋" w:hAnsi="仿宋" w:eastAsia="仿宋"/>
          <w:sz w:val="28"/>
          <w:szCs w:val="28"/>
        </w:rPr>
        <w:t>八、</w:t>
      </w:r>
      <w:r>
        <w:rPr>
          <w:rStyle w:val="19"/>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ascii="仿宋" w:hAnsi="仿宋" w:eastAsia="仿宋" w:cstheme="minorBidi"/>
          <w:sz w:val="28"/>
          <w:szCs w:val="28"/>
        </w:rPr>
      </w:pPr>
      <w:r>
        <w:rPr>
          <w:sz w:val="21"/>
          <w:szCs w:val="24"/>
        </w:rPr>
        <w:fldChar w:fldCharType="begin"/>
      </w:r>
      <w:r>
        <w:rPr>
          <w:sz w:val="21"/>
          <w:szCs w:val="24"/>
        </w:rPr>
        <w:instrText xml:space="preserve"> HYPERLINK \l "_Toc15396611" </w:instrText>
      </w:r>
      <w:r>
        <w:rPr>
          <w:sz w:val="21"/>
          <w:szCs w:val="24"/>
        </w:rPr>
        <w:fldChar w:fldCharType="separate"/>
      </w:r>
      <w:r>
        <w:rPr>
          <w:rStyle w:val="19"/>
          <w:rFonts w:hint="eastAsia" w:ascii="仿宋" w:hAnsi="仿宋" w:eastAsia="仿宋" w:cstheme="majorBidi"/>
          <w:bCs/>
          <w:sz w:val="28"/>
          <w:szCs w:val="28"/>
        </w:rPr>
        <w:t>九、</w:t>
      </w:r>
      <w:r>
        <w:rPr>
          <w:rStyle w:val="19"/>
          <w:rFonts w:hint="eastAsia" w:ascii="仿宋" w:hAnsi="仿宋" w:eastAsia="仿宋"/>
          <w:sz w:val="28"/>
          <w:szCs w:val="28"/>
        </w:rPr>
        <w:t xml:space="preserve"> 国</w:t>
      </w:r>
      <w:r>
        <w:rPr>
          <w:rStyle w:val="19"/>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rPr>
          <w:rFonts w:hint="default" w:eastAsia="仿宋" w:cstheme="minorBidi"/>
          <w:sz w:val="28"/>
          <w:szCs w:val="28"/>
          <w:lang w:val="en-US" w:eastAsia="zh-CN"/>
        </w:rPr>
      </w:pPr>
      <w:r>
        <w:rPr>
          <w:sz w:val="21"/>
          <w:szCs w:val="24"/>
        </w:rPr>
        <w:fldChar w:fldCharType="begin"/>
      </w:r>
      <w:r>
        <w:rPr>
          <w:sz w:val="21"/>
          <w:szCs w:val="24"/>
        </w:rPr>
        <w:instrText xml:space="preserve"> HYPERLINK \l "_Toc15396612" </w:instrText>
      </w:r>
      <w:r>
        <w:rPr>
          <w:sz w:val="21"/>
          <w:szCs w:val="24"/>
        </w:rPr>
        <w:fldChar w:fldCharType="separate"/>
      </w:r>
      <w:r>
        <w:rPr>
          <w:rStyle w:val="19"/>
          <w:rFonts w:hint="eastAsia" w:ascii="仿宋" w:hAnsi="仿宋" w:eastAsia="仿宋"/>
          <w:sz w:val="28"/>
          <w:szCs w:val="28"/>
        </w:rPr>
        <w:t>十</w:t>
      </w:r>
      <w:r>
        <w:rPr>
          <w:rStyle w:val="19"/>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end"/>
      </w:r>
      <w:r>
        <w:rPr>
          <w:rFonts w:hint="eastAsia"/>
          <w:sz w:val="28"/>
          <w:szCs w:val="28"/>
          <w:lang w:val="en-US" w:eastAsia="zh-CN"/>
        </w:rPr>
        <w:t>17</w:t>
      </w:r>
    </w:p>
    <w:p>
      <w:pPr>
        <w:pStyle w:val="11"/>
        <w:keepNext w:val="0"/>
        <w:keepLines w:val="0"/>
        <w:pageBreakBefore w:val="0"/>
        <w:kinsoku/>
        <w:wordWrap/>
        <w:overflowPunct/>
        <w:topLinePunct w:val="0"/>
        <w:autoSpaceDE/>
        <w:autoSpaceDN/>
        <w:bidi w:val="0"/>
        <w:adjustRightInd/>
        <w:snapToGrid/>
        <w:spacing w:before="0" w:line="560" w:lineRule="exact"/>
        <w:ind w:left="0" w:leftChars="0"/>
        <w:jc w:val="both"/>
        <w:textAlignment w:val="auto"/>
        <w:rPr>
          <w:sz w:val="28"/>
          <w:szCs w:val="28"/>
          <w:lang w:val="en-US"/>
        </w:rPr>
      </w:pPr>
      <w:r>
        <w:rPr>
          <w:sz w:val="28"/>
          <w:szCs w:val="28"/>
        </w:rPr>
        <w:fldChar w:fldCharType="begin"/>
      </w:r>
      <w:r>
        <w:rPr>
          <w:sz w:val="28"/>
          <w:szCs w:val="28"/>
        </w:rPr>
        <w:instrText xml:space="preserve"> HYPERLINK \l "_Toc15396614" </w:instrText>
      </w:r>
      <w:r>
        <w:rPr>
          <w:sz w:val="28"/>
          <w:szCs w:val="28"/>
        </w:rPr>
        <w:fldChar w:fldCharType="separate"/>
      </w:r>
      <w:r>
        <w:rPr>
          <w:rStyle w:val="19"/>
          <w:rFonts w:hint="eastAsia"/>
          <w:sz w:val="28"/>
          <w:szCs w:val="28"/>
        </w:rPr>
        <w:t>第</w:t>
      </w:r>
      <w:r>
        <w:rPr>
          <w:rStyle w:val="19"/>
          <w:rFonts w:hint="eastAsia"/>
          <w:bCs/>
          <w:kern w:val="44"/>
          <w:sz w:val="28"/>
          <w:szCs w:val="28"/>
        </w:rPr>
        <w:t>四部分附件</w:t>
      </w:r>
      <w:r>
        <w:rPr>
          <w:sz w:val="28"/>
          <w:szCs w:val="28"/>
        </w:rPr>
        <w:tab/>
      </w:r>
      <w:r>
        <w:rPr>
          <w:rFonts w:hint="eastAsia"/>
          <w:sz w:val="28"/>
          <w:szCs w:val="28"/>
          <w:lang w:val="en-US" w:eastAsia="zh-CN"/>
        </w:rPr>
        <w:t>2</w:t>
      </w:r>
      <w:r>
        <w:rPr>
          <w:rFonts w:hint="eastAsia"/>
          <w:sz w:val="28"/>
          <w:szCs w:val="28"/>
        </w:rPr>
        <w:fldChar w:fldCharType="end"/>
      </w:r>
      <w:r>
        <w:rPr>
          <w:rFonts w:hint="eastAsia"/>
          <w:sz w:val="28"/>
          <w:szCs w:val="28"/>
          <w:lang w:val="en-US" w:eastAsia="zh-CN"/>
        </w:rPr>
        <w:t>0</w:t>
      </w:r>
    </w:p>
    <w:p>
      <w:pPr>
        <w:pStyle w:val="11"/>
        <w:keepNext w:val="0"/>
        <w:keepLines w:val="0"/>
        <w:pageBreakBefore w:val="0"/>
        <w:kinsoku/>
        <w:wordWrap/>
        <w:overflowPunct/>
        <w:topLinePunct w:val="0"/>
        <w:autoSpaceDE/>
        <w:autoSpaceDN/>
        <w:bidi w:val="0"/>
        <w:adjustRightInd/>
        <w:snapToGrid/>
        <w:spacing w:before="0" w:line="560" w:lineRule="exact"/>
        <w:ind w:left="0" w:leftChars="0"/>
        <w:jc w:val="both"/>
        <w:textAlignment w:val="auto"/>
        <w:rPr>
          <w:rFonts w:cstheme="minorBidi"/>
          <w:sz w:val="28"/>
          <w:szCs w:val="28"/>
        </w:rPr>
      </w:pPr>
      <w:r>
        <w:rPr>
          <w:sz w:val="28"/>
          <w:szCs w:val="28"/>
        </w:rPr>
        <w:fldChar w:fldCharType="begin"/>
      </w:r>
      <w:r>
        <w:rPr>
          <w:sz w:val="28"/>
          <w:szCs w:val="28"/>
        </w:rPr>
        <w:instrText xml:space="preserve"> HYPERLINK \l "_Toc15396618" </w:instrText>
      </w:r>
      <w:r>
        <w:rPr>
          <w:sz w:val="28"/>
          <w:szCs w:val="28"/>
        </w:rPr>
        <w:fldChar w:fldCharType="separate"/>
      </w:r>
      <w:r>
        <w:rPr>
          <w:rStyle w:val="19"/>
          <w:rFonts w:hint="eastAsia"/>
          <w:sz w:val="28"/>
          <w:szCs w:val="28"/>
        </w:rPr>
        <w:t>第</w:t>
      </w:r>
      <w:r>
        <w:rPr>
          <w:rStyle w:val="19"/>
          <w:rFonts w:hint="eastAsia"/>
          <w:bCs/>
          <w:kern w:val="44"/>
          <w:sz w:val="28"/>
          <w:szCs w:val="28"/>
        </w:rPr>
        <w:t>五部分附表</w:t>
      </w:r>
      <w:r>
        <w:rPr>
          <w:sz w:val="28"/>
          <w:szCs w:val="28"/>
        </w:rPr>
        <w:tab/>
      </w:r>
      <w:r>
        <w:rPr>
          <w:rFonts w:hint="eastAsia"/>
          <w:sz w:val="28"/>
          <w:szCs w:val="28"/>
        </w:rPr>
        <w:fldChar w:fldCharType="end"/>
      </w:r>
      <w:r>
        <w:rPr>
          <w:rFonts w:hint="eastAsia"/>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一、</w:t>
      </w:r>
      <w:r>
        <w:rPr>
          <w:sz w:val="21"/>
          <w:szCs w:val="24"/>
        </w:rPr>
        <w:fldChar w:fldCharType="begin"/>
      </w:r>
      <w:r>
        <w:rPr>
          <w:sz w:val="21"/>
          <w:szCs w:val="24"/>
        </w:rPr>
        <w:instrText xml:space="preserve"> HYPERLINK \l "_Toc15396619" </w:instrText>
      </w:r>
      <w:r>
        <w:rPr>
          <w:sz w:val="21"/>
          <w:szCs w:val="24"/>
        </w:rPr>
        <w:fldChar w:fldCharType="separate"/>
      </w:r>
      <w:r>
        <w:rPr>
          <w:rStyle w:val="19"/>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二、</w:t>
      </w:r>
      <w:r>
        <w:rPr>
          <w:sz w:val="21"/>
          <w:szCs w:val="24"/>
        </w:rPr>
        <w:fldChar w:fldCharType="begin"/>
      </w:r>
      <w:r>
        <w:rPr>
          <w:sz w:val="21"/>
          <w:szCs w:val="24"/>
        </w:rPr>
        <w:instrText xml:space="preserve"> HYPERLINK \l "_Toc15396620" </w:instrText>
      </w:r>
      <w:r>
        <w:rPr>
          <w:sz w:val="21"/>
          <w:szCs w:val="24"/>
        </w:rPr>
        <w:fldChar w:fldCharType="separate"/>
      </w:r>
      <w:r>
        <w:rPr>
          <w:rStyle w:val="19"/>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三、</w:t>
      </w:r>
      <w:r>
        <w:rPr>
          <w:sz w:val="21"/>
          <w:szCs w:val="24"/>
        </w:rPr>
        <w:fldChar w:fldCharType="begin"/>
      </w:r>
      <w:r>
        <w:rPr>
          <w:sz w:val="21"/>
          <w:szCs w:val="24"/>
        </w:rPr>
        <w:instrText xml:space="preserve"> HYPERLINK \l "_Toc15396621" </w:instrText>
      </w:r>
      <w:r>
        <w:rPr>
          <w:sz w:val="21"/>
          <w:szCs w:val="24"/>
        </w:rPr>
        <w:fldChar w:fldCharType="separate"/>
      </w:r>
      <w:r>
        <w:rPr>
          <w:rStyle w:val="19"/>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四、</w:t>
      </w:r>
      <w:r>
        <w:rPr>
          <w:sz w:val="21"/>
          <w:szCs w:val="24"/>
        </w:rPr>
        <w:fldChar w:fldCharType="begin"/>
      </w:r>
      <w:r>
        <w:rPr>
          <w:sz w:val="21"/>
          <w:szCs w:val="24"/>
        </w:rPr>
        <w:instrText xml:space="preserve"> HYPERLINK \l "_Toc15396622" </w:instrText>
      </w:r>
      <w:r>
        <w:rPr>
          <w:sz w:val="21"/>
          <w:szCs w:val="24"/>
        </w:rPr>
        <w:fldChar w:fldCharType="separate"/>
      </w:r>
      <w:r>
        <w:rPr>
          <w:rStyle w:val="19"/>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sz w:val="28"/>
          <w:szCs w:val="28"/>
        </w:rPr>
      </w:pPr>
      <w:r>
        <w:rPr>
          <w:rFonts w:hint="eastAsia" w:ascii="仿宋" w:hAnsi="仿宋" w:eastAsia="仿宋"/>
          <w:sz w:val="28"/>
          <w:szCs w:val="28"/>
        </w:rPr>
        <w:t>五、</w:t>
      </w:r>
      <w:r>
        <w:rPr>
          <w:sz w:val="21"/>
          <w:szCs w:val="24"/>
        </w:rPr>
        <w:fldChar w:fldCharType="begin"/>
      </w:r>
      <w:r>
        <w:rPr>
          <w:sz w:val="21"/>
          <w:szCs w:val="24"/>
        </w:rPr>
        <w:instrText xml:space="preserve"> HYPERLINK \l "_Toc15396623" </w:instrText>
      </w:r>
      <w:r>
        <w:rPr>
          <w:sz w:val="21"/>
          <w:szCs w:val="24"/>
        </w:rP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六、</w:t>
      </w:r>
      <w:r>
        <w:rPr>
          <w:sz w:val="21"/>
          <w:szCs w:val="24"/>
        </w:rPr>
        <w:fldChar w:fldCharType="begin"/>
      </w:r>
      <w:r>
        <w:rPr>
          <w:sz w:val="21"/>
          <w:szCs w:val="24"/>
        </w:rPr>
        <w:instrText xml:space="preserve"> HYPERLINK \l "_Toc15396624" </w:instrText>
      </w:r>
      <w:r>
        <w:rPr>
          <w:sz w:val="21"/>
          <w:szCs w:val="24"/>
        </w:rPr>
        <w:fldChar w:fldCharType="separate"/>
      </w:r>
      <w:r>
        <w:rPr>
          <w:rStyle w:val="19"/>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七、</w:t>
      </w:r>
      <w:r>
        <w:rPr>
          <w:sz w:val="21"/>
          <w:szCs w:val="24"/>
        </w:rPr>
        <w:fldChar w:fldCharType="begin"/>
      </w:r>
      <w:r>
        <w:rPr>
          <w:sz w:val="21"/>
          <w:szCs w:val="24"/>
        </w:rPr>
        <w:instrText xml:space="preserve"> HYPERLINK \l "_Toc15396625" </w:instrText>
      </w:r>
      <w:r>
        <w:rPr>
          <w:sz w:val="21"/>
          <w:szCs w:val="24"/>
        </w:rPr>
        <w:fldChar w:fldCharType="separate"/>
      </w:r>
      <w:r>
        <w:rPr>
          <w:rStyle w:val="19"/>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八、</w:t>
      </w:r>
      <w:r>
        <w:rPr>
          <w:sz w:val="21"/>
          <w:szCs w:val="24"/>
        </w:rPr>
        <w:fldChar w:fldCharType="begin"/>
      </w:r>
      <w:r>
        <w:rPr>
          <w:sz w:val="21"/>
          <w:szCs w:val="24"/>
        </w:rPr>
        <w:instrText xml:space="preserve"> HYPERLINK \l "_Toc15396626" </w:instrText>
      </w:r>
      <w:r>
        <w:rPr>
          <w:sz w:val="21"/>
          <w:szCs w:val="24"/>
        </w:rPr>
        <w:fldChar w:fldCharType="separate"/>
      </w:r>
      <w:r>
        <w:rPr>
          <w:rStyle w:val="19"/>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九、</w:t>
      </w:r>
      <w:r>
        <w:rPr>
          <w:sz w:val="21"/>
          <w:szCs w:val="24"/>
        </w:rPr>
        <w:fldChar w:fldCharType="begin"/>
      </w:r>
      <w:r>
        <w:rPr>
          <w:sz w:val="21"/>
          <w:szCs w:val="24"/>
        </w:rPr>
        <w:instrText xml:space="preserve"> HYPERLINK \l "_Toc15396627" </w:instrText>
      </w:r>
      <w:r>
        <w:rPr>
          <w:sz w:val="21"/>
          <w:szCs w:val="24"/>
        </w:rPr>
        <w:fldChar w:fldCharType="separate"/>
      </w:r>
      <w:r>
        <w:rPr>
          <w:rStyle w:val="19"/>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rPr>
        <w:t>十、</w:t>
      </w:r>
      <w:r>
        <w:rPr>
          <w:sz w:val="21"/>
          <w:szCs w:val="24"/>
        </w:rPr>
        <w:fldChar w:fldCharType="begin"/>
      </w:r>
      <w:r>
        <w:rPr>
          <w:sz w:val="21"/>
          <w:szCs w:val="24"/>
        </w:rPr>
        <w:instrText xml:space="preserve"> HYPERLINK \l "_Toc15396629" </w:instrText>
      </w:r>
      <w:r>
        <w:rPr>
          <w:sz w:val="21"/>
          <w:szCs w:val="24"/>
        </w:rPr>
        <w:fldChar w:fldCharType="separate"/>
      </w:r>
      <w:r>
        <w:rPr>
          <w:rStyle w:val="19"/>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4"/>
          <w:szCs w:val="24"/>
        </w:rPr>
      </w:pPr>
      <w:r>
        <w:rPr>
          <w:rFonts w:hint="eastAsia" w:ascii="仿宋" w:hAnsi="仿宋" w:eastAsia="仿宋"/>
          <w:sz w:val="28"/>
          <w:szCs w:val="28"/>
        </w:rPr>
        <w:t>十</w:t>
      </w:r>
      <w:r>
        <w:rPr>
          <w:rFonts w:hint="eastAsia" w:ascii="仿宋" w:hAnsi="仿宋" w:eastAsia="仿宋"/>
          <w:sz w:val="28"/>
          <w:szCs w:val="28"/>
          <w:lang w:eastAsia="zh-CN"/>
        </w:rPr>
        <w:t>一</w:t>
      </w:r>
      <w:r>
        <w:rPr>
          <w:rFonts w:hint="eastAsia" w:ascii="仿宋" w:hAnsi="仿宋" w:eastAsia="仿宋"/>
          <w:sz w:val="28"/>
          <w:szCs w:val="28"/>
        </w:rPr>
        <w:t>、</w:t>
      </w:r>
      <w:r>
        <w:rPr>
          <w:sz w:val="21"/>
          <w:szCs w:val="24"/>
        </w:rPr>
        <w:fldChar w:fldCharType="begin"/>
      </w:r>
      <w:r>
        <w:rPr>
          <w:sz w:val="21"/>
          <w:szCs w:val="24"/>
        </w:rPr>
        <w:instrText xml:space="preserve"> HYPERLINK \l "_Toc15396631" </w:instrText>
      </w:r>
      <w:r>
        <w:rPr>
          <w:sz w:val="21"/>
          <w:szCs w:val="24"/>
        </w:rPr>
        <w:fldChar w:fldCharType="separate"/>
      </w:r>
      <w:r>
        <w:rPr>
          <w:rStyle w:val="19"/>
          <w:rFonts w:hint="eastAsia" w:ascii="仿宋" w:hAnsi="仿宋" w:eastAsia="仿宋"/>
          <w:sz w:val="28"/>
          <w:szCs w:val="28"/>
        </w:rPr>
        <w:t>国有资本经营预算财政拨收入支出决算表</w:t>
      </w:r>
      <w:r>
        <w:rPr>
          <w:rFonts w:ascii="仿宋" w:hAnsi="仿宋" w:eastAsia="仿宋"/>
          <w:sz w:val="28"/>
          <w:szCs w:val="28"/>
        </w:rPr>
        <w:tab/>
      </w:r>
      <w:r>
        <w:rPr>
          <w:rFonts w:hint="eastAsia" w:ascii="仿宋" w:hAnsi="仿宋" w:eastAsia="仿宋"/>
          <w:sz w:val="28"/>
          <w:szCs w:val="28"/>
          <w:lang w:val="en-US" w:eastAsia="zh-CN"/>
        </w:rPr>
        <w:t>40</w:t>
      </w:r>
      <w:r>
        <w:rPr>
          <w:rFonts w:hint="eastAsia"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eastAsia="仿宋"/>
          <w:sz w:val="21"/>
          <w:szCs w:val="24"/>
          <w:lang w:eastAsia="zh-CN"/>
        </w:rPr>
      </w:pPr>
      <w:r>
        <w:rPr>
          <w:rFonts w:ascii="仿宋" w:hAnsi="仿宋" w:eastAsia="仿宋"/>
          <w:color w:val="000000"/>
          <w:sz w:val="24"/>
          <w:szCs w:val="24"/>
        </w:rPr>
        <w:fldChar w:fldCharType="end"/>
      </w:r>
      <w:r>
        <w:rPr>
          <w:rFonts w:hint="eastAsia" w:ascii="仿宋" w:hAnsi="仿宋" w:eastAsia="仿宋"/>
          <w:color w:val="000000"/>
          <w:sz w:val="24"/>
          <w:szCs w:val="24"/>
          <w:lang w:val="en-US" w:eastAsia="zh-CN"/>
        </w:rPr>
        <w:t xml:space="preserve">     </w:t>
      </w:r>
      <w:r>
        <w:rPr>
          <w:rFonts w:hint="eastAsia" w:ascii="仿宋" w:hAnsi="仿宋" w:eastAsia="仿宋"/>
          <w:sz w:val="28"/>
          <w:szCs w:val="28"/>
        </w:rPr>
        <w:t>十</w:t>
      </w:r>
      <w:r>
        <w:rPr>
          <w:rFonts w:hint="eastAsia" w:ascii="仿宋" w:hAnsi="仿宋" w:eastAsia="仿宋"/>
          <w:sz w:val="28"/>
          <w:szCs w:val="28"/>
          <w:lang w:eastAsia="zh-CN"/>
        </w:rPr>
        <w:t>二</w:t>
      </w:r>
      <w:r>
        <w:rPr>
          <w:rFonts w:hint="eastAsia" w:ascii="仿宋" w:hAnsi="仿宋" w:eastAsia="仿宋"/>
          <w:sz w:val="28"/>
          <w:szCs w:val="28"/>
        </w:rPr>
        <w:t>、</w:t>
      </w:r>
      <w:r>
        <w:rPr>
          <w:sz w:val="21"/>
          <w:szCs w:val="24"/>
        </w:rPr>
        <w:fldChar w:fldCharType="begin"/>
      </w:r>
      <w:r>
        <w:rPr>
          <w:sz w:val="21"/>
          <w:szCs w:val="24"/>
        </w:rPr>
        <w:instrText xml:space="preserve"> HYPERLINK \l "_Toc15396631" </w:instrText>
      </w:r>
      <w:r>
        <w:rPr>
          <w:sz w:val="21"/>
          <w:szCs w:val="24"/>
        </w:rPr>
        <w:fldChar w:fldCharType="separate"/>
      </w:r>
      <w:r>
        <w:rPr>
          <w:rStyle w:val="19"/>
          <w:rFonts w:hint="eastAsia" w:ascii="仿宋" w:hAnsi="仿宋" w:eastAsia="仿宋"/>
          <w:color w:val="auto"/>
          <w:sz w:val="28"/>
          <w:szCs w:val="28"/>
          <w:u w:val="none"/>
        </w:rPr>
        <w:t>国有资本经营预算财政拨支出决算表</w:t>
      </w:r>
      <w:r>
        <w:rPr>
          <w:rStyle w:val="19"/>
          <w:rFonts w:hint="eastAsia" w:ascii="仿宋" w:hAnsi="仿宋" w:eastAsia="仿宋"/>
          <w:color w:val="auto"/>
          <w:sz w:val="28"/>
          <w:szCs w:val="28"/>
          <w:u w:val="none"/>
          <w:lang w:val="en-US" w:eastAsia="zh-CN"/>
        </w:rPr>
        <w:t>...............4</w:t>
      </w:r>
      <w:r>
        <w:rPr>
          <w:rFonts w:hint="eastAsia" w:ascii="仿宋" w:hAnsi="仿宋" w:eastAsia="仿宋"/>
          <w:sz w:val="28"/>
          <w:szCs w:val="28"/>
          <w:lang w:val="en-US" w:eastAsia="zh-CN"/>
        </w:rPr>
        <w:t>0</w:t>
      </w:r>
      <w:r>
        <w:rPr>
          <w:rFonts w:hint="eastAsia" w:ascii="仿宋" w:hAnsi="仿宋" w:eastAsia="仿宋"/>
          <w:sz w:val="28"/>
          <w:szCs w:val="28"/>
        </w:rPr>
        <w:fldChar w:fldCharType="end"/>
      </w:r>
    </w:p>
    <w:p>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heme="minorBidi"/>
          <w:sz w:val="28"/>
          <w:szCs w:val="28"/>
        </w:rPr>
      </w:pPr>
      <w:r>
        <w:rPr>
          <w:rFonts w:hint="eastAsia" w:ascii="仿宋" w:hAnsi="仿宋" w:eastAsia="仿宋"/>
          <w:sz w:val="28"/>
          <w:szCs w:val="28"/>
          <w:lang w:eastAsia="zh-CN"/>
        </w:rPr>
        <w:t>十三</w:t>
      </w:r>
      <w:r>
        <w:rPr>
          <w:rFonts w:hint="eastAsia" w:ascii="仿宋" w:hAnsi="仿宋" w:eastAsia="仿宋"/>
          <w:sz w:val="28"/>
          <w:szCs w:val="28"/>
        </w:rPr>
        <w:t>、</w:t>
      </w:r>
      <w:r>
        <w:rPr>
          <w:rFonts w:hint="eastAsia" w:ascii="仿宋" w:hAnsi="仿宋" w:eastAsia="仿宋"/>
          <w:sz w:val="28"/>
          <w:szCs w:val="28"/>
          <w:lang w:eastAsia="zh-CN"/>
        </w:rPr>
        <w:t>财政</w:t>
      </w:r>
      <w:r>
        <w:rPr>
          <w:rFonts w:hint="eastAsia" w:ascii="仿宋" w:hAnsi="仿宋" w:eastAsia="仿宋"/>
          <w:sz w:val="28"/>
          <w:szCs w:val="28"/>
          <w:lang w:val="en-US" w:eastAsia="zh-CN"/>
        </w:rPr>
        <w:t>拨款</w:t>
      </w:r>
      <w:r>
        <w:rPr>
          <w:rFonts w:hint="eastAsia" w:ascii="仿宋" w:hAnsi="仿宋" w:eastAsia="仿宋"/>
          <w:sz w:val="28"/>
          <w:szCs w:val="28"/>
          <w:lang w:eastAsia="zh-CN"/>
        </w:rPr>
        <w:t>“</w:t>
      </w:r>
      <w:r>
        <w:rPr>
          <w:rFonts w:hint="eastAsia" w:ascii="仿宋" w:hAnsi="仿宋" w:eastAsia="仿宋"/>
          <w:sz w:val="28"/>
          <w:szCs w:val="28"/>
          <w:lang w:val="en-US" w:eastAsia="zh-CN"/>
        </w:rPr>
        <w:t>三公</w:t>
      </w:r>
      <w:r>
        <w:rPr>
          <w:rFonts w:hint="default" w:ascii="仿宋" w:hAnsi="仿宋" w:eastAsia="仿宋"/>
          <w:sz w:val="28"/>
          <w:szCs w:val="28"/>
          <w:lang w:val="en-US" w:eastAsia="zh-CN"/>
        </w:rPr>
        <w:t>”</w:t>
      </w:r>
      <w:r>
        <w:rPr>
          <w:rFonts w:hint="eastAsia" w:ascii="仿宋" w:hAnsi="仿宋" w:eastAsia="仿宋"/>
          <w:sz w:val="28"/>
          <w:szCs w:val="28"/>
          <w:lang w:val="en-US" w:eastAsia="zh-CN"/>
        </w:rPr>
        <w:t>经费支出决算表</w:t>
      </w:r>
      <w:r>
        <w:rPr>
          <w:sz w:val="21"/>
          <w:szCs w:val="24"/>
        </w:rPr>
        <w:fldChar w:fldCharType="begin"/>
      </w:r>
      <w:r>
        <w:rPr>
          <w:sz w:val="21"/>
          <w:szCs w:val="24"/>
        </w:rPr>
        <w:instrText xml:space="preserve"> HYPERLINK \l "_Toc15396619" </w:instrText>
      </w:r>
      <w:r>
        <w:rPr>
          <w:sz w:val="21"/>
          <w:szCs w:val="24"/>
        </w:rPr>
        <w:fldChar w:fldCharType="separate"/>
      </w:r>
      <w:r>
        <w:rPr>
          <w:rFonts w:hint="eastAsia" w:ascii="仿宋" w:hAnsi="仿宋" w:eastAsia="仿宋"/>
          <w:sz w:val="28"/>
          <w:szCs w:val="28"/>
          <w:lang w:val="en-US" w:eastAsia="zh-CN"/>
        </w:rPr>
        <w:t>..................</w:t>
      </w:r>
      <w:r>
        <w:rPr>
          <w:rFonts w:hint="eastAsia" w:ascii="仿宋" w:hAnsi="仿宋" w:eastAsia="仿宋"/>
          <w:sz w:val="28"/>
          <w:szCs w:val="28"/>
        </w:rPr>
        <w:fldChar w:fldCharType="end"/>
      </w:r>
      <w:r>
        <w:rPr>
          <w:rFonts w:hint="eastAsia" w:ascii="仿宋" w:hAnsi="仿宋" w:eastAsia="仿宋"/>
          <w:sz w:val="28"/>
          <w:szCs w:val="28"/>
          <w:lang w:val="en-US" w:eastAsia="zh-CN"/>
        </w:rPr>
        <w:t>40</w:t>
      </w:r>
    </w:p>
    <w:p>
      <w:pPr>
        <w:pStyle w:val="2"/>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b w:val="0"/>
          <w:color w:val="auto"/>
          <w:sz w:val="48"/>
          <w:szCs w:val="48"/>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p>
    <w:p>
      <w:pPr>
        <w:pStyle w:val="2"/>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b w:val="0"/>
          <w:color w:val="auto"/>
          <w:highlight w:val="none"/>
        </w:rPr>
        <w:t xml:space="preserve">第一部分 </w:t>
      </w:r>
      <w:r>
        <w:rPr>
          <w:rFonts w:hint="default" w:ascii="Times New Roman" w:hAnsi="Times New Roman" w:eastAsia="黑体" w:cs="Times New Roman"/>
          <w:b w:val="0"/>
          <w:color w:val="auto"/>
          <w:highlight w:val="none"/>
          <w:lang w:eastAsia="zh-CN"/>
        </w:rPr>
        <w:t>单位</w:t>
      </w:r>
      <w:r>
        <w:rPr>
          <w:rStyle w:val="28"/>
          <w:rFonts w:hint="default" w:ascii="Times New Roman" w:hAnsi="Times New Roman" w:eastAsia="黑体" w:cs="Times New Roman"/>
          <w:b w:val="0"/>
          <w:bCs w:val="0"/>
          <w:color w:val="auto"/>
          <w:highlight w:val="none"/>
        </w:rPr>
        <w:t>概况</w:t>
      </w:r>
      <w:bookmarkEnd w:id="12"/>
      <w:bookmarkEnd w:id="13"/>
    </w:p>
    <w:p>
      <w:pPr>
        <w:pStyle w:val="3"/>
        <w:keepNext/>
        <w:keepLines/>
        <w:pageBreakBefore w:val="0"/>
        <w:widowControl w:val="0"/>
        <w:numPr>
          <w:ilvl w:val="0"/>
          <w:numId w:val="0"/>
        </w:numPr>
        <w:kinsoku/>
        <w:wordWrap/>
        <w:overflowPunct/>
        <w:topLinePunct w:val="0"/>
        <w:autoSpaceDE/>
        <w:autoSpaceDN/>
        <w:bidi w:val="0"/>
        <w:adjustRightInd/>
        <w:snapToGrid w:val="0"/>
        <w:spacing w:before="0" w:after="0" w:line="600" w:lineRule="exact"/>
        <w:ind w:firstLine="640" w:firstLineChars="200"/>
        <w:textAlignment w:val="auto"/>
        <w:rPr>
          <w:rStyle w:val="29"/>
          <w:rFonts w:hint="default" w:ascii="Times New Roman" w:hAnsi="Times New Roman" w:eastAsia="黑体" w:cs="Times New Roman"/>
          <w:b w:val="0"/>
          <w:bCs w:val="0"/>
          <w:color w:val="auto"/>
          <w:highlight w:val="none"/>
          <w:lang w:eastAsia="zh-CN"/>
        </w:rPr>
      </w:pPr>
      <w:bookmarkStart w:id="14" w:name="_Toc15396600"/>
      <w:bookmarkStart w:id="15" w:name="_Toc15377197"/>
      <w:r>
        <w:rPr>
          <w:rStyle w:val="29"/>
          <w:rFonts w:hint="default" w:ascii="Times New Roman" w:hAnsi="Times New Roman" w:eastAsia="黑体" w:cs="Times New Roman"/>
          <w:b w:val="0"/>
          <w:bCs w:val="0"/>
          <w:color w:val="auto"/>
          <w:highlight w:val="none"/>
          <w:lang w:val="en-US" w:eastAsia="zh-CN"/>
        </w:rPr>
        <w:t>一、</w:t>
      </w:r>
      <w:r>
        <w:rPr>
          <w:rStyle w:val="29"/>
          <w:rFonts w:hint="default" w:ascii="Times New Roman" w:hAnsi="Times New Roman" w:eastAsia="黑体" w:cs="Times New Roman"/>
          <w:b w:val="0"/>
          <w:bCs w:val="0"/>
          <w:color w:val="auto"/>
          <w:highlight w:val="none"/>
          <w:lang w:eastAsia="zh-CN"/>
        </w:rPr>
        <w:t>主要职责</w:t>
      </w:r>
    </w:p>
    <w:p>
      <w:pPr>
        <w:pStyle w:val="3"/>
        <w:keepNext/>
        <w:keepLines/>
        <w:pageBreakBefore w:val="0"/>
        <w:widowControl w:val="0"/>
        <w:kinsoku/>
        <w:wordWrap/>
        <w:overflowPunct/>
        <w:topLinePunct w:val="0"/>
        <w:autoSpaceDE/>
        <w:autoSpaceDN/>
        <w:bidi w:val="0"/>
        <w:adjustRightInd/>
        <w:snapToGrid w:val="0"/>
        <w:spacing w:before="0" w:after="0"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泸州市残疾人联合会主要职能、职责：</w:t>
      </w:r>
      <w:r>
        <w:rPr>
          <w:rFonts w:hint="default" w:ascii="Times New Roman" w:hAnsi="Times New Roman" w:eastAsia="仿宋_GB2312" w:cs="Times New Roman"/>
          <w:b w:val="0"/>
          <w:bCs w:val="0"/>
          <w:sz w:val="32"/>
          <w:szCs w:val="32"/>
        </w:rPr>
        <w:t>弘扬人道主义，发展残疾人事业。维护残疾人合法权益；团结教育残疾人；开展各项业务和活动，直接为残疾人服务；承担市政府委托的行政职能，发展和管理残疾人事业。</w:t>
      </w:r>
    </w:p>
    <w:p>
      <w:pPr>
        <w:pStyle w:val="3"/>
        <w:keepNext/>
        <w:keepLines/>
        <w:pageBreakBefore w:val="0"/>
        <w:widowControl w:val="0"/>
        <w:numPr>
          <w:ilvl w:val="0"/>
          <w:numId w:val="0"/>
        </w:numPr>
        <w:kinsoku/>
        <w:wordWrap/>
        <w:overflowPunct/>
        <w:topLinePunct w:val="0"/>
        <w:autoSpaceDE/>
        <w:autoSpaceDN/>
        <w:bidi w:val="0"/>
        <w:adjustRightInd/>
        <w:snapToGrid w:val="0"/>
        <w:spacing w:before="0" w:after="0" w:line="600" w:lineRule="exact"/>
        <w:ind w:firstLine="640" w:firstLineChars="200"/>
        <w:textAlignment w:val="auto"/>
        <w:rPr>
          <w:rStyle w:val="29"/>
          <w:rFonts w:hint="default" w:ascii="Times New Roman" w:hAnsi="Times New Roman" w:eastAsia="黑体" w:cs="Times New Roman"/>
          <w:b w:val="0"/>
          <w:bCs w:val="0"/>
          <w:color w:val="auto"/>
          <w:highlight w:val="none"/>
          <w:lang w:val="en-US" w:eastAsia="zh-CN"/>
        </w:rPr>
      </w:pPr>
      <w:r>
        <w:rPr>
          <w:rStyle w:val="29"/>
          <w:rFonts w:hint="default" w:ascii="Times New Roman" w:hAnsi="Times New Roman" w:eastAsia="黑体" w:cs="Times New Roman"/>
          <w:b w:val="0"/>
          <w:bCs w:val="0"/>
          <w:color w:val="auto"/>
          <w:highlight w:val="none"/>
          <w:lang w:val="en-US" w:eastAsia="zh-CN"/>
        </w:rPr>
        <w:t>二、机构设置</w:t>
      </w:r>
      <w:bookmarkEnd w:id="14"/>
      <w:bookmarkEnd w:id="15"/>
    </w:p>
    <w:p>
      <w:pPr>
        <w:pStyle w:val="3"/>
        <w:keepNext/>
        <w:keepLines/>
        <w:pageBreakBefore w:val="0"/>
        <w:widowControl w:val="0"/>
        <w:numPr>
          <w:ilvl w:val="0"/>
          <w:numId w:val="0"/>
        </w:numPr>
        <w:kinsoku/>
        <w:wordWrap/>
        <w:overflowPunct/>
        <w:topLinePunct w:val="0"/>
        <w:autoSpaceDE/>
        <w:autoSpaceDN/>
        <w:bidi w:val="0"/>
        <w:adjustRightInd/>
        <w:snapToGrid w:val="0"/>
        <w:spacing w:before="0" w:after="0" w:line="600" w:lineRule="exact"/>
        <w:ind w:firstLine="640" w:firstLineChars="200"/>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_GB2312" w:cs="Times New Roman"/>
          <w:b w:val="0"/>
          <w:bCs w:val="0"/>
          <w:sz w:val="32"/>
          <w:szCs w:val="32"/>
          <w:lang w:val="en-US" w:eastAsia="zh-CN"/>
        </w:rPr>
        <w:t>泸州市残疾人联合会设3个内设机构，主要有办公室、组织宣传发展科和康复教育就业科。</w:t>
      </w:r>
    </w:p>
    <w:p>
      <w:pPr>
        <w:pStyle w:val="2"/>
        <w:ind w:right="440"/>
        <w:jc w:val="center"/>
        <w:rPr>
          <w:rFonts w:hint="default" w:ascii="Times New Roman" w:hAnsi="Times New Roman" w:eastAsia="黑体" w:cs="Times New Roman"/>
          <w:b w:val="0"/>
          <w:bCs/>
          <w:color w:val="auto"/>
          <w:highlight w:val="none"/>
        </w:rPr>
      </w:pPr>
      <w:bookmarkStart w:id="16" w:name="_Toc15377204"/>
      <w:bookmarkStart w:id="17" w:name="_Toc15396602"/>
    </w:p>
    <w:p>
      <w:pPr>
        <w:pStyle w:val="2"/>
        <w:ind w:right="440"/>
        <w:jc w:val="center"/>
        <w:rPr>
          <w:rFonts w:hint="default" w:ascii="Times New Roman" w:hAnsi="Times New Roman" w:eastAsia="黑体" w:cs="Times New Roman"/>
          <w:b w:val="0"/>
          <w:bCs/>
          <w:color w:val="auto"/>
          <w:highlight w:val="none"/>
        </w:rPr>
      </w:pPr>
    </w:p>
    <w:p>
      <w:pPr>
        <w:pStyle w:val="2"/>
        <w:ind w:right="440"/>
        <w:jc w:val="center"/>
        <w:rPr>
          <w:rFonts w:hint="default" w:ascii="Times New Roman" w:hAnsi="Times New Roman" w:eastAsia="黑体" w:cs="Times New Roman"/>
          <w:b w:val="0"/>
          <w:bCs/>
          <w:color w:val="auto"/>
          <w:highlight w:val="none"/>
        </w:rPr>
      </w:pPr>
    </w:p>
    <w:p>
      <w:pPr>
        <w:pStyle w:val="2"/>
        <w:ind w:right="440"/>
        <w:jc w:val="center"/>
        <w:rPr>
          <w:rFonts w:hint="default" w:ascii="Times New Roman" w:hAnsi="Times New Roman" w:eastAsia="黑体" w:cs="Times New Roman"/>
          <w:b w:val="0"/>
          <w:bCs/>
          <w:color w:val="auto"/>
          <w:highlight w:val="none"/>
        </w:rPr>
      </w:pPr>
    </w:p>
    <w:p>
      <w:pPr>
        <w:pStyle w:val="2"/>
        <w:ind w:right="440"/>
        <w:jc w:val="center"/>
        <w:rPr>
          <w:rFonts w:hint="default" w:ascii="Times New Roman" w:hAnsi="Times New Roman" w:eastAsia="黑体" w:cs="Times New Roman"/>
          <w:b w:val="0"/>
          <w:bCs/>
          <w:color w:val="auto"/>
          <w:highlight w:val="none"/>
        </w:rPr>
      </w:pPr>
    </w:p>
    <w:p>
      <w:pPr>
        <w:pStyle w:val="2"/>
        <w:ind w:right="440"/>
        <w:jc w:val="center"/>
        <w:rPr>
          <w:rFonts w:hint="default" w:ascii="Times New Roman" w:hAnsi="Times New Roman" w:eastAsia="黑体" w:cs="Times New Roman"/>
          <w:b w:val="0"/>
          <w:bCs/>
          <w:color w:val="auto"/>
          <w:highlight w:val="none"/>
        </w:rPr>
      </w:pPr>
    </w:p>
    <w:p>
      <w:pPr>
        <w:pStyle w:val="2"/>
        <w:ind w:right="440"/>
        <w:jc w:val="center"/>
        <w:rPr>
          <w:rStyle w:val="28"/>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2022年度</w:t>
      </w:r>
      <w:r>
        <w:rPr>
          <w:rStyle w:val="28"/>
          <w:rFonts w:hint="default" w:ascii="Times New Roman" w:hAnsi="Times New Roman" w:eastAsia="黑体" w:cs="Times New Roman"/>
          <w:b w:val="0"/>
          <w:bCs/>
          <w:color w:val="auto"/>
          <w:highlight w:val="none"/>
          <w:lang w:eastAsia="zh-CN"/>
        </w:rPr>
        <w:t>单位</w:t>
      </w:r>
      <w:r>
        <w:rPr>
          <w:rStyle w:val="28"/>
          <w:rFonts w:hint="default" w:ascii="Times New Roman" w:hAnsi="Times New Roman" w:eastAsia="黑体" w:cs="Times New Roman"/>
          <w:b w:val="0"/>
          <w:bCs/>
          <w:color w:val="auto"/>
          <w:highlight w:val="none"/>
        </w:rPr>
        <w:t>决算情况说明</w:t>
      </w:r>
      <w:bookmarkEnd w:id="16"/>
      <w:bookmarkEnd w:id="17"/>
    </w:p>
    <w:p>
      <w:pPr>
        <w:rPr>
          <w:rFonts w:hint="default" w:ascii="Times New Roman" w:hAnsi="Times New Roman" w:cs="Times New Roman"/>
          <w:color w:val="auto"/>
          <w:highlight w:val="none"/>
        </w:rPr>
      </w:pPr>
    </w:p>
    <w:p>
      <w:pPr>
        <w:pStyle w:val="27"/>
        <w:numPr>
          <w:ilvl w:val="0"/>
          <w:numId w:val="1"/>
        </w:numPr>
        <w:spacing w:line="600" w:lineRule="exact"/>
        <w:ind w:firstLineChars="0"/>
        <w:outlineLvl w:val="1"/>
        <w:rPr>
          <w:rStyle w:val="29"/>
          <w:rFonts w:hint="default" w:ascii="Times New Roman" w:hAnsi="Times New Roman" w:eastAsia="黑体" w:cs="Times New Roman"/>
          <w:b w:val="0"/>
          <w:color w:val="auto"/>
          <w:highlight w:val="none"/>
        </w:rPr>
      </w:pPr>
      <w:bookmarkStart w:id="18" w:name="_Toc15396603"/>
      <w:bookmarkStart w:id="19" w:name="_Toc15377205"/>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年度收、支总计1516.72万元。与20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年相比，收、支总计各增加</w:t>
      </w:r>
      <w:r>
        <w:rPr>
          <w:rFonts w:hint="default" w:ascii="Times New Roman" w:hAnsi="Times New Roman" w:eastAsia="仿宋" w:cs="Times New Roman"/>
          <w:color w:val="auto"/>
          <w:sz w:val="32"/>
          <w:szCs w:val="32"/>
          <w:highlight w:val="none"/>
          <w:lang w:val="en-US" w:eastAsia="zh-CN"/>
        </w:rPr>
        <w:t>456.79</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43.1</w:t>
      </w:r>
      <w:r>
        <w:rPr>
          <w:rFonts w:hint="default" w:ascii="Times New Roman" w:hAnsi="Times New Roman" w:eastAsia="仿宋" w:cs="Times New Roman"/>
          <w:color w:val="auto"/>
          <w:sz w:val="32"/>
          <w:szCs w:val="32"/>
          <w:highlight w:val="none"/>
        </w:rPr>
        <w:t>%。主要变动原因：2022年部分项目经费较上年有所增加，如：圆梦助学工程</w:t>
      </w:r>
      <w:r>
        <w:rPr>
          <w:rFonts w:hint="default" w:ascii="Times New Roman" w:hAnsi="Times New Roman" w:eastAsia="仿宋" w:cs="Times New Roman"/>
          <w:color w:val="auto"/>
          <w:sz w:val="32"/>
          <w:szCs w:val="32"/>
          <w:highlight w:val="none"/>
          <w:lang w:val="en-US" w:eastAsia="zh-CN"/>
        </w:rPr>
        <w:t>项目</w:t>
      </w:r>
      <w:r>
        <w:rPr>
          <w:rFonts w:hint="default" w:ascii="Times New Roman" w:hAnsi="Times New Roman" w:eastAsia="仿宋" w:cs="Times New Roman"/>
          <w:color w:val="auto"/>
          <w:sz w:val="32"/>
          <w:szCs w:val="32"/>
          <w:highlight w:val="none"/>
        </w:rPr>
        <w:t>较上年增加93.6万元，残疾人体育项目较上年增加68万元，增加省级残疾人事业发展补助资金（体彩）88万元</w:t>
      </w:r>
      <w:r>
        <w:rPr>
          <w:rFonts w:hint="eastAsia" w:eastAsia="仿宋" w:cs="Times New Roman"/>
          <w:color w:val="auto"/>
          <w:sz w:val="32"/>
          <w:szCs w:val="32"/>
          <w:highlight w:val="none"/>
          <w:lang w:eastAsia="zh-CN"/>
        </w:rPr>
        <w:t>，</w:t>
      </w:r>
      <w:r>
        <w:rPr>
          <w:rFonts w:eastAsia="仿宋_GB2312"/>
          <w:color w:val="000000"/>
          <w:sz w:val="32"/>
          <w:szCs w:val="32"/>
        </w:rPr>
        <w:t>人员调入及人员工资正常晋升</w:t>
      </w:r>
      <w:r>
        <w:rPr>
          <w:rFonts w:hint="eastAsia" w:eastAsia="仿宋_GB2312"/>
          <w:color w:val="000000"/>
          <w:sz w:val="32"/>
          <w:szCs w:val="32"/>
        </w:rPr>
        <w:t>、五险基数调整</w:t>
      </w:r>
      <w:r>
        <w:rPr>
          <w:rFonts w:eastAsia="仿宋_GB2312"/>
          <w:color w:val="000000"/>
          <w:sz w:val="32"/>
          <w:szCs w:val="32"/>
        </w:rPr>
        <w:t>增加人员基本支出</w:t>
      </w:r>
      <w:r>
        <w:rPr>
          <w:rFonts w:hint="default" w:ascii="Times New Roman" w:hAnsi="Times New Roman" w:eastAsia="仿宋" w:cs="Times New Roman"/>
          <w:color w:val="auto"/>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w:t>
      </w:r>
    </w:p>
    <w:p>
      <w:pPr>
        <w:pStyle w:val="27"/>
        <w:numPr>
          <w:ilvl w:val="0"/>
          <w:numId w:val="1"/>
        </w:numPr>
        <w:spacing w:line="600" w:lineRule="exact"/>
        <w:ind w:firstLineChars="0"/>
        <w:outlineLvl w:val="1"/>
        <w:rPr>
          <w:rStyle w:val="29"/>
          <w:rFonts w:hint="default" w:ascii="Times New Roman" w:hAnsi="Times New Roman" w:eastAsia="黑体" w:cs="Times New Roman"/>
          <w:b w:val="0"/>
          <w:color w:val="auto"/>
          <w:highlight w:val="none"/>
        </w:rPr>
      </w:pPr>
      <w:bookmarkStart w:id="20" w:name="_Toc15377206"/>
      <w:bookmarkStart w:id="21" w:name="_Toc15396604"/>
      <w:r>
        <w:rPr>
          <w:rFonts w:hint="default" w:ascii="Times New Roman" w:hAnsi="Times New Roman" w:eastAsia="仿宋_GB2312" w:cs="Times New Roman"/>
          <w:b/>
          <w:sz w:val="32"/>
          <w:szCs w:val="32"/>
        </w:rPr>
        <w:drawing>
          <wp:anchor distT="0" distB="0" distL="114300" distR="114300" simplePos="0" relativeHeight="251659264" behindDoc="0" locked="0" layoutInCell="1" allowOverlap="1">
            <wp:simplePos x="0" y="0"/>
            <wp:positionH relativeFrom="column">
              <wp:posOffset>457835</wp:posOffset>
            </wp:positionH>
            <wp:positionV relativeFrom="page">
              <wp:posOffset>4933315</wp:posOffset>
            </wp:positionV>
            <wp:extent cx="4338320" cy="2731770"/>
            <wp:effectExtent l="4445" t="4445" r="19685" b="698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入决算情况说明</w:t>
      </w:r>
      <w:bookmarkEnd w:id="20"/>
      <w:bookmarkEnd w:id="21"/>
    </w:p>
    <w:p>
      <w:pPr>
        <w:spacing w:line="600" w:lineRule="exact"/>
        <w:ind w:firstLine="640" w:firstLineChars="200"/>
        <w:outlineLvl w:val="1"/>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年本年收入合计1516.72万元，其中：一般公共预算财政拨款收入</w:t>
      </w:r>
      <w:r>
        <w:rPr>
          <w:rFonts w:hint="default" w:ascii="Times New Roman" w:hAnsi="Times New Roman" w:eastAsia="仿宋" w:cs="Times New Roman"/>
          <w:color w:val="auto"/>
          <w:sz w:val="32"/>
          <w:szCs w:val="32"/>
          <w:highlight w:val="none"/>
          <w:lang w:val="en-US" w:eastAsia="zh-CN"/>
        </w:rPr>
        <w:t>1426.72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94.07</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90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5.93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pPr>
        <w:pStyle w:val="5"/>
        <w:bidi w:val="0"/>
        <w:jc w:val="center"/>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612775</wp:posOffset>
            </wp:positionH>
            <wp:positionV relativeFrom="page">
              <wp:posOffset>1859280</wp:posOffset>
            </wp:positionV>
            <wp:extent cx="4211955" cy="2623820"/>
            <wp:effectExtent l="4445" t="4445" r="12700" b="1968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 w:cs="Times New Roman"/>
          <w:color w:val="auto"/>
          <w:sz w:val="32"/>
          <w:szCs w:val="32"/>
          <w:highlight w:val="none"/>
        </w:rPr>
        <w:t>（图2：收入决算结构图）</w:t>
      </w:r>
    </w:p>
    <w:p>
      <w:pPr>
        <w:pStyle w:val="27"/>
        <w:numPr>
          <w:ilvl w:val="0"/>
          <w:numId w:val="1"/>
        </w:numPr>
        <w:spacing w:line="600" w:lineRule="exact"/>
        <w:ind w:firstLineChars="0"/>
        <w:outlineLvl w:val="1"/>
        <w:rPr>
          <w:rStyle w:val="29"/>
          <w:rFonts w:hint="default" w:ascii="Times New Roman" w:hAnsi="Times New Roman" w:eastAsia="黑体" w:cs="Times New Roman"/>
          <w:b w:val="0"/>
          <w:color w:val="auto"/>
          <w:highlight w:val="none"/>
        </w:rPr>
      </w:pPr>
      <w:bookmarkStart w:id="22" w:name="_Toc15396605"/>
      <w:bookmarkStart w:id="23" w:name="_Toc15377207"/>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22"/>
      <w:bookmarkEnd w:id="23"/>
    </w:p>
    <w:p>
      <w:pPr>
        <w:spacing w:line="600" w:lineRule="exact"/>
        <w:ind w:firstLine="643" w:firstLineChars="200"/>
        <w:jc w:val="both"/>
        <w:outlineLvl w:val="1"/>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b/>
          <w:color w:val="000000"/>
          <w:sz w:val="32"/>
          <w:szCs w:val="32"/>
        </w:rPr>
        <w:drawing>
          <wp:anchor distT="0" distB="0" distL="114300" distR="114300" simplePos="0" relativeHeight="251661312" behindDoc="0" locked="0" layoutInCell="1" allowOverlap="1">
            <wp:simplePos x="0" y="0"/>
            <wp:positionH relativeFrom="column">
              <wp:posOffset>609600</wp:posOffset>
            </wp:positionH>
            <wp:positionV relativeFrom="page">
              <wp:posOffset>6196330</wp:posOffset>
            </wp:positionV>
            <wp:extent cx="4228465" cy="2781300"/>
            <wp:effectExtent l="4445" t="4445" r="15240"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1516.72</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428.81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28.27</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1087.91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71.73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pPr>
        <w:spacing w:line="600" w:lineRule="exact"/>
        <w:ind w:firstLine="640" w:firstLineChars="200"/>
        <w:jc w:val="both"/>
        <w:outlineLvl w:val="1"/>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（图3：支出决算结构图）</w:t>
      </w:r>
    </w:p>
    <w:p>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24" w:name="_Toc15396606"/>
      <w:bookmarkStart w:id="25" w:name="_Toc15377208"/>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color w:val="000000" w:themeColor="text1"/>
          <w:kern w:val="2"/>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394970</wp:posOffset>
            </wp:positionH>
            <wp:positionV relativeFrom="page">
              <wp:posOffset>4089400</wp:posOffset>
            </wp:positionV>
            <wp:extent cx="4653280" cy="2853690"/>
            <wp:effectExtent l="4445" t="4445" r="9525" b="1841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年财政拨款收、支总计</w:t>
      </w:r>
      <w:r>
        <w:rPr>
          <w:rFonts w:hint="default" w:ascii="Times New Roman" w:hAnsi="Times New Roman" w:eastAsia="仿宋" w:cs="Times New Roman"/>
          <w:color w:val="auto"/>
          <w:sz w:val="32"/>
          <w:szCs w:val="32"/>
          <w:highlight w:val="none"/>
          <w:lang w:val="en-US" w:eastAsia="zh-CN"/>
        </w:rPr>
        <w:t>1516.72</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年相比，财政拨款收、支总计增加</w:t>
      </w:r>
      <w:r>
        <w:rPr>
          <w:rFonts w:hint="default" w:ascii="Times New Roman" w:hAnsi="Times New Roman" w:eastAsia="仿宋" w:cs="Times New Roman"/>
          <w:color w:val="auto"/>
          <w:sz w:val="32"/>
          <w:szCs w:val="32"/>
          <w:highlight w:val="none"/>
          <w:lang w:val="en-US" w:eastAsia="zh-CN"/>
        </w:rPr>
        <w:t>456.79万元</w:t>
      </w:r>
      <w:r>
        <w:rPr>
          <w:rFonts w:hint="default" w:ascii="Times New Roman" w:hAnsi="Times New Roman" w:eastAsia="仿宋" w:cs="Times New Roman"/>
          <w:color w:val="auto"/>
          <w:sz w:val="32"/>
          <w:szCs w:val="32"/>
          <w:highlight w:val="none"/>
        </w:rPr>
        <w:t>，增长</w:t>
      </w:r>
      <w:r>
        <w:rPr>
          <w:rFonts w:hint="default" w:ascii="Times New Roman" w:hAnsi="Times New Roman" w:eastAsia="仿宋" w:cs="Times New Roman"/>
          <w:color w:val="auto"/>
          <w:sz w:val="32"/>
          <w:szCs w:val="32"/>
          <w:highlight w:val="none"/>
          <w:lang w:val="en-US" w:eastAsia="zh-CN"/>
        </w:rPr>
        <w:t>43.1</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color w:val="000000"/>
          <w:sz w:val="32"/>
          <w:szCs w:val="32"/>
          <w:lang w:val="en-US" w:eastAsia="zh-CN"/>
        </w:rPr>
        <w:t>主要变动原因是：2022年“</w:t>
      </w:r>
      <w:r>
        <w:rPr>
          <w:rFonts w:hint="default" w:ascii="Times New Roman" w:hAnsi="Times New Roman" w:eastAsia="仿宋_GB2312" w:cs="Times New Roman"/>
          <w:color w:val="000000"/>
          <w:sz w:val="32"/>
          <w:szCs w:val="32"/>
        </w:rPr>
        <w:t>圆梦助学工程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rPr>
        <w:t>较上年增加93.6万元，残疾人体育项目较上年增加68万元，增加省级残疾人事业发展补助资金（体彩）88万元</w:t>
      </w:r>
      <w:r>
        <w:rPr>
          <w:rFonts w:hint="eastAsia" w:eastAsia="仿宋_GB2312" w:cs="Times New Roman"/>
          <w:color w:val="000000"/>
          <w:sz w:val="32"/>
          <w:szCs w:val="32"/>
          <w:lang w:eastAsia="zh-CN"/>
        </w:rPr>
        <w:t>，</w:t>
      </w:r>
      <w:r>
        <w:rPr>
          <w:rFonts w:eastAsia="仿宋_GB2312"/>
          <w:color w:val="000000"/>
          <w:sz w:val="32"/>
          <w:szCs w:val="32"/>
        </w:rPr>
        <w:t>人员调入及人员工资正常晋升</w:t>
      </w:r>
      <w:r>
        <w:rPr>
          <w:rFonts w:hint="eastAsia" w:eastAsia="仿宋_GB2312"/>
          <w:color w:val="000000"/>
          <w:sz w:val="32"/>
          <w:szCs w:val="32"/>
        </w:rPr>
        <w:t>、五险基数调整</w:t>
      </w:r>
      <w:r>
        <w:rPr>
          <w:rFonts w:eastAsia="仿宋_GB2312"/>
          <w:color w:val="000000"/>
          <w:sz w:val="32"/>
          <w:szCs w:val="32"/>
        </w:rPr>
        <w:t>增加人员基本支出</w:t>
      </w:r>
      <w:r>
        <w:rPr>
          <w:rFonts w:hint="default" w:ascii="Times New Roman" w:hAnsi="Times New Roman" w:eastAsia="仿宋" w:cs="Times New Roman"/>
          <w:color w:val="auto"/>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p>
    <w:p>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26" w:name="_Toc15377209"/>
      <w:bookmarkStart w:id="27"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26"/>
      <w:bookmarkEnd w:id="27"/>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28" w:name="_Toc15377210"/>
      <w:r>
        <w:rPr>
          <w:rFonts w:hint="default" w:ascii="Times New Roman" w:hAnsi="Times New Roman" w:eastAsia="仿宋" w:cs="Times New Roman"/>
          <w:b/>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1516.72</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w:t>
      </w:r>
      <w:r>
        <w:rPr>
          <w:rFonts w:hint="default" w:ascii="Times New Roman" w:hAnsi="Times New Roman" w:eastAsia="仿宋" w:cs="Times New Roman"/>
          <w:color w:val="auto"/>
          <w:sz w:val="32"/>
          <w:szCs w:val="32"/>
          <w:highlight w:val="none"/>
          <w:lang w:val="en-US" w:eastAsia="zh-CN"/>
        </w:rPr>
        <w:t>456.79</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43.1</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color w:val="000000"/>
          <w:sz w:val="32"/>
          <w:szCs w:val="32"/>
          <w:lang w:val="en-US" w:eastAsia="zh-CN"/>
        </w:rPr>
        <w:t>主要变动原因是：2022年残疾大学生及残疾人子女人数增加，“</w:t>
      </w:r>
      <w:r>
        <w:rPr>
          <w:rFonts w:hint="default" w:ascii="Times New Roman" w:hAnsi="Times New Roman" w:eastAsia="仿宋_GB2312" w:cs="Times New Roman"/>
          <w:color w:val="000000"/>
          <w:sz w:val="32"/>
          <w:szCs w:val="32"/>
        </w:rPr>
        <w:t>圆梦助学工程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rPr>
        <w:t>较上年增加93.6万元，残疾人体育项目较上年增加68万元，</w:t>
      </w:r>
      <w:r>
        <w:rPr>
          <w:rFonts w:eastAsia="仿宋_GB2312"/>
          <w:color w:val="000000"/>
          <w:sz w:val="32"/>
          <w:szCs w:val="32"/>
        </w:rPr>
        <w:t>人员调入及人员工资正常晋升</w:t>
      </w:r>
      <w:r>
        <w:rPr>
          <w:rFonts w:hint="eastAsia" w:eastAsia="仿宋_GB2312"/>
          <w:color w:val="000000"/>
          <w:sz w:val="32"/>
          <w:szCs w:val="32"/>
        </w:rPr>
        <w:t>、五险基数调整</w:t>
      </w:r>
      <w:r>
        <w:rPr>
          <w:rFonts w:eastAsia="仿宋_GB2312"/>
          <w:color w:val="000000"/>
          <w:sz w:val="32"/>
          <w:szCs w:val="32"/>
        </w:rPr>
        <w:t>增加人员基本支出</w:t>
      </w:r>
      <w:r>
        <w:rPr>
          <w:rFonts w:hint="default" w:ascii="Times New Roman" w:hAnsi="Times New Roman" w:eastAsia="仿宋" w:cs="Times New Roman"/>
          <w:color w:val="auto"/>
          <w:sz w:val="32"/>
          <w:szCs w:val="32"/>
          <w:highlight w:val="none"/>
        </w:rPr>
        <w:t>等</w:t>
      </w:r>
      <w:r>
        <w:rPr>
          <w:rFonts w:hint="eastAsia" w:eastAsia="仿宋" w:cs="Times New Roman"/>
          <w:color w:val="auto"/>
          <w:sz w:val="32"/>
          <w:szCs w:val="32"/>
          <w:highlight w:val="none"/>
          <w:lang w:eastAsia="zh-CN"/>
        </w:rPr>
        <w:t>。</w:t>
      </w:r>
    </w:p>
    <w:p>
      <w:pPr>
        <w:spacing w:line="600" w:lineRule="exact"/>
        <w:ind w:firstLine="643" w:firstLineChars="200"/>
        <w:rPr>
          <w:rFonts w:hint="default" w:ascii="Times New Roman" w:hAnsi="Times New Roman" w:eastAsia="仿宋" w:cs="Times New Roman"/>
          <w:color w:val="auto"/>
          <w:sz w:val="32"/>
          <w:szCs w:val="32"/>
          <w:highlight w:val="none"/>
        </w:rPr>
      </w:pPr>
      <w:r>
        <w:rPr>
          <w:rFonts w:hint="default" w:ascii="Times New Roman" w:hAnsi="Times New Roman" w:eastAsia="方正仿宋简体" w:cs="Times New Roman"/>
          <w:b/>
          <w:color w:val="000000" w:themeColor="text1"/>
          <w:kern w:val="2"/>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471170</wp:posOffset>
            </wp:positionH>
            <wp:positionV relativeFrom="page">
              <wp:posOffset>2689225</wp:posOffset>
            </wp:positionV>
            <wp:extent cx="4455160" cy="3038475"/>
            <wp:effectExtent l="4445" t="4445" r="17145" b="508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仿宋" w:cs="Times New Roman"/>
          <w:color w:val="auto"/>
          <w:sz w:val="32"/>
          <w:szCs w:val="32"/>
          <w:highlight w:val="none"/>
        </w:rPr>
        <w:t>（图5：一般公共预算财政拨款支出决算变动情况）</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29" w:name="_Toc15377211"/>
      <w:r>
        <w:rPr>
          <w:rFonts w:hint="default" w:ascii="Times New Roman" w:hAnsi="Times New Roman" w:eastAsia="仿宋" w:cs="Times New Roman"/>
          <w:b/>
          <w:color w:val="auto"/>
          <w:sz w:val="32"/>
          <w:szCs w:val="32"/>
          <w:highlight w:val="none"/>
        </w:rPr>
        <w:t>（二）一般公共预算财政拨款支出决算结构情况</w:t>
      </w:r>
      <w:bookmarkEnd w:id="29"/>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1426.72</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1385.23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97.09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15.61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1.1</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25.88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1.81</w:t>
      </w:r>
      <w:r>
        <w:rPr>
          <w:rFonts w:hint="default" w:ascii="Times New Roman" w:hAnsi="Times New Roman" w:eastAsia="仿宋" w:cs="Times New Roman"/>
          <w:color w:val="auto"/>
          <w:sz w:val="32"/>
          <w:szCs w:val="32"/>
          <w:highlight w:val="none"/>
        </w:rPr>
        <w:t>%。</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30" w:name="_Toc15377212"/>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p>
    <w:p>
      <w:pPr>
        <w:spacing w:line="6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（三）一般公共预算财政拨款支出决算具体情况</w:t>
      </w:r>
      <w:bookmarkEnd w:id="30"/>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31" w:name="_Toc15378460"/>
      <w:bookmarkStart w:id="32" w:name="_Toc15377213"/>
      <w:bookmarkStart w:id="33" w:name="_Toc15377444"/>
      <w:r>
        <w:rPr>
          <w:rFonts w:hint="default" w:ascii="Times New Roman" w:hAnsi="Times New Roman" w:eastAsia="仿宋" w:cs="Times New Roman"/>
          <w:b/>
          <w:color w:val="auto"/>
          <w:sz w:val="32"/>
          <w:szCs w:val="32"/>
          <w:highlight w:val="none"/>
        </w:rPr>
        <w:t>20</w:t>
      </w:r>
      <w:r>
        <w:rPr>
          <w:rFonts w:hint="default" w:ascii="Times New Roman" w:hAnsi="Times New Roman" w:eastAsia="仿宋" w:cs="Times New Roman"/>
          <w:b/>
          <w:color w:val="auto"/>
          <w:sz w:val="32"/>
          <w:szCs w:val="32"/>
          <w:highlight w:val="none"/>
          <w:lang w:val="en-US" w:eastAsia="zh-CN"/>
        </w:rPr>
        <w:t>22</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1426.72</w:t>
      </w:r>
      <w:r>
        <w:rPr>
          <w:rFonts w:hint="default" w:ascii="Times New Roman" w:hAnsi="Times New Roman" w:eastAsia="仿宋" w:cs="Times New Roman"/>
          <w:color w:val="auto"/>
          <w:sz w:val="32"/>
          <w:szCs w:val="32"/>
          <w:highlight w:val="none"/>
        </w:rPr>
        <w:t>，</w:t>
      </w:r>
      <w:r>
        <w:rPr>
          <w:rStyle w:val="18"/>
          <w:rFonts w:hint="default" w:ascii="Times New Roman" w:hAnsi="Times New Roman" w:eastAsia="仿宋" w:cs="Times New Roman"/>
          <w:bCs/>
          <w:color w:val="auto"/>
          <w:sz w:val="32"/>
          <w:szCs w:val="32"/>
          <w:highlight w:val="none"/>
        </w:rPr>
        <w:t>完成预算</w:t>
      </w:r>
      <w:r>
        <w:rPr>
          <w:rFonts w:hint="default" w:ascii="Times New Roman" w:hAnsi="Times New Roman" w:eastAsia="仿宋" w:cs="Times New Roman"/>
          <w:b/>
          <w:color w:val="000000"/>
          <w:sz w:val="32"/>
          <w:szCs w:val="32"/>
        </w:rPr>
        <w:drawing>
          <wp:anchor distT="0" distB="0" distL="114300" distR="114300" simplePos="0" relativeHeight="251664384" behindDoc="0" locked="0" layoutInCell="1" allowOverlap="1">
            <wp:simplePos x="0" y="0"/>
            <wp:positionH relativeFrom="column">
              <wp:posOffset>746125</wp:posOffset>
            </wp:positionH>
            <wp:positionV relativeFrom="page">
              <wp:posOffset>1466850</wp:posOffset>
            </wp:positionV>
            <wp:extent cx="3808730" cy="2379980"/>
            <wp:effectExtent l="4445" t="4445" r="15875" b="1587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Style w:val="18"/>
          <w:rFonts w:hint="default" w:ascii="Times New Roman" w:hAnsi="Times New Roman" w:eastAsia="仿宋" w:cs="Times New Roman"/>
          <w:bCs/>
          <w:color w:val="auto"/>
          <w:sz w:val="32"/>
          <w:szCs w:val="32"/>
          <w:highlight w:val="none"/>
          <w:lang w:val="en-US" w:eastAsia="zh-CN"/>
        </w:rPr>
        <w:t>100</w:t>
      </w:r>
      <w:r>
        <w:rPr>
          <w:rStyle w:val="18"/>
          <w:rFonts w:hint="default" w:ascii="Times New Roman" w:hAnsi="Times New Roman" w:eastAsia="仿宋" w:cs="Times New Roman"/>
          <w:bCs/>
          <w:color w:val="auto"/>
          <w:sz w:val="32"/>
          <w:szCs w:val="32"/>
          <w:highlight w:val="none"/>
        </w:rPr>
        <w:t>%。其中：</w:t>
      </w:r>
      <w:bookmarkEnd w:id="31"/>
      <w:bookmarkEnd w:id="32"/>
      <w:bookmarkEnd w:id="33"/>
    </w:p>
    <w:p>
      <w:pPr>
        <w:spacing w:line="600" w:lineRule="exact"/>
        <w:ind w:firstLine="643" w:firstLineChars="200"/>
        <w:rPr>
          <w:rStyle w:val="18"/>
          <w:rFonts w:hint="default" w:ascii="Times New Roman" w:hAnsi="Times New Roman" w:eastAsia="仿宋" w:cs="Times New Roman"/>
          <w:bCs/>
          <w:color w:val="auto"/>
          <w:sz w:val="32"/>
          <w:szCs w:val="32"/>
          <w:highlight w:val="none"/>
        </w:rPr>
      </w:pPr>
      <w:r>
        <w:rPr>
          <w:rStyle w:val="18"/>
          <w:rFonts w:hint="default" w:ascii="Times New Roman" w:hAnsi="Times New Roman" w:eastAsia="仿宋" w:cs="Times New Roman"/>
          <w:bCs/>
          <w:color w:val="auto"/>
          <w:sz w:val="32"/>
          <w:szCs w:val="32"/>
          <w:highlight w:val="none"/>
        </w:rPr>
        <w:t>1.社会保障和就业支出（类）行政事业单位养老支出（款）行政单位离退休（项）:</w:t>
      </w:r>
      <w:r>
        <w:rPr>
          <w:rStyle w:val="18"/>
          <w:rFonts w:hint="default" w:ascii="Times New Roman" w:hAnsi="Times New Roman" w:eastAsia="仿宋" w:cs="Times New Roman"/>
          <w:b w:val="0"/>
          <w:bCs w:val="0"/>
          <w:color w:val="auto"/>
          <w:sz w:val="32"/>
          <w:szCs w:val="32"/>
          <w:highlight w:val="none"/>
        </w:rPr>
        <w:t>支出决算为</w:t>
      </w:r>
      <w:r>
        <w:rPr>
          <w:rStyle w:val="18"/>
          <w:rFonts w:hint="default" w:ascii="Times New Roman" w:hAnsi="Times New Roman" w:eastAsia="仿宋" w:cs="Times New Roman"/>
          <w:b w:val="0"/>
          <w:bCs w:val="0"/>
          <w:color w:val="auto"/>
          <w:sz w:val="32"/>
          <w:szCs w:val="32"/>
          <w:highlight w:val="none"/>
          <w:lang w:val="en-US" w:eastAsia="zh-CN"/>
        </w:rPr>
        <w:t>34.17</w:t>
      </w:r>
      <w:r>
        <w:rPr>
          <w:rStyle w:val="18"/>
          <w:rFonts w:hint="default" w:ascii="Times New Roman" w:hAnsi="Times New Roman" w:eastAsia="仿宋" w:cs="Times New Roman"/>
          <w:b w:val="0"/>
          <w:bCs w:val="0"/>
          <w:color w:val="auto"/>
          <w:sz w:val="32"/>
          <w:szCs w:val="32"/>
          <w:highlight w:val="none"/>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2.社会保障和就业支出（类）行政事业单位养老支出（款）机关事业单位基本养老保险缴费支出（项）: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25.45</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3.社会保障和就业支出（类）行政事业单位养老支出（款）机关事业单位职业年金缴费支出（项）: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12.73</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4.社会保障和就业支出（类）残疾人事业（款）行政运行（项）: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312.9</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5.社会保障和就业支出（类）残疾人事业（款）一般行政管理事务（项）: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47.62</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6.社会保障和就业支出（类）残疾人事业（款）残疾人康复（项）:</w:t>
      </w:r>
      <w:r>
        <w:rPr>
          <w:rFonts w:hint="default" w:ascii="Times New Roman" w:hAnsi="Times New Roman" w:eastAsia="仿宋_GB2312" w:cs="Times New Roman"/>
          <w:bCs/>
          <w:kern w:val="0"/>
          <w:sz w:val="32"/>
          <w:szCs w:val="32"/>
        </w:rPr>
        <w:t>支出决算</w:t>
      </w:r>
      <w:r>
        <w:rPr>
          <w:rFonts w:hint="default" w:ascii="Times New Roman" w:hAnsi="Times New Roman" w:eastAsia="仿宋_GB2312" w:cs="Times New Roman"/>
          <w:bCs/>
          <w:kern w:val="0"/>
          <w:sz w:val="32"/>
          <w:szCs w:val="32"/>
          <w:lang w:val="en-US" w:eastAsia="zh-CN"/>
        </w:rPr>
        <w:t>67.82</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7.社会保障和就业支出（类）残疾人事业（款）残疾人就业（项）: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382.5</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8.社会保障和就业支出（类）残疾人事业（款）残疾人体育（项）: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187.23</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9.社会保障和就业支出（类）残疾人事业（款）其他残疾人事业支出（项）: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312.74</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lang w:val="en-US" w:eastAsia="zh-CN"/>
        </w:rPr>
        <w:t>10.</w:t>
      </w:r>
      <w:r>
        <w:rPr>
          <w:rStyle w:val="18"/>
          <w:rFonts w:hint="default" w:ascii="Times New Roman" w:hAnsi="Times New Roman" w:eastAsia="仿宋" w:cs="Times New Roman"/>
          <w:bCs/>
          <w:color w:val="auto"/>
          <w:sz w:val="32"/>
          <w:szCs w:val="32"/>
          <w:highlight w:val="none"/>
        </w:rPr>
        <w:t>社会保障和就业支出（类）</w:t>
      </w:r>
      <w:r>
        <w:rPr>
          <w:rStyle w:val="18"/>
          <w:rFonts w:hint="default" w:ascii="Times New Roman" w:hAnsi="Times New Roman" w:eastAsia="仿宋" w:cs="Times New Roman"/>
          <w:bCs/>
          <w:color w:val="auto"/>
          <w:sz w:val="32"/>
          <w:szCs w:val="32"/>
          <w:highlight w:val="none"/>
          <w:lang w:val="en-US" w:eastAsia="zh-CN"/>
        </w:rPr>
        <w:t>其他社会保障和就业支出</w:t>
      </w:r>
      <w:r>
        <w:rPr>
          <w:rStyle w:val="18"/>
          <w:rFonts w:hint="default" w:ascii="Times New Roman" w:hAnsi="Times New Roman" w:eastAsia="仿宋" w:cs="Times New Roman"/>
          <w:bCs/>
          <w:color w:val="auto"/>
          <w:sz w:val="32"/>
          <w:szCs w:val="32"/>
          <w:highlight w:val="none"/>
        </w:rPr>
        <w:t>（款）</w:t>
      </w:r>
      <w:r>
        <w:rPr>
          <w:rStyle w:val="18"/>
          <w:rFonts w:hint="default" w:ascii="Times New Roman" w:hAnsi="Times New Roman" w:eastAsia="仿宋" w:cs="Times New Roman"/>
          <w:bCs/>
          <w:color w:val="auto"/>
          <w:sz w:val="32"/>
          <w:szCs w:val="32"/>
          <w:highlight w:val="none"/>
          <w:lang w:val="en-US" w:eastAsia="zh-CN"/>
        </w:rPr>
        <w:t>其他社会保障和就业支出</w:t>
      </w:r>
      <w:r>
        <w:rPr>
          <w:rStyle w:val="18"/>
          <w:rFonts w:hint="default" w:ascii="Times New Roman" w:hAnsi="Times New Roman" w:eastAsia="仿宋" w:cs="Times New Roman"/>
          <w:bCs/>
          <w:color w:val="auto"/>
          <w:sz w:val="32"/>
          <w:szCs w:val="32"/>
          <w:highlight w:val="none"/>
        </w:rPr>
        <w:t>（项）: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2.07</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lang w:val="en-US" w:eastAsia="zh-CN"/>
        </w:rPr>
        <w:t>11</w:t>
      </w:r>
      <w:r>
        <w:rPr>
          <w:rStyle w:val="18"/>
          <w:rFonts w:hint="default" w:ascii="Times New Roman" w:hAnsi="Times New Roman" w:eastAsia="仿宋" w:cs="Times New Roman"/>
          <w:bCs/>
          <w:color w:val="auto"/>
          <w:sz w:val="32"/>
          <w:szCs w:val="32"/>
          <w:highlight w:val="none"/>
        </w:rPr>
        <w:t>.卫生健康支出（类）行政事业单位医疗（款）行政单位医疗（项）: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12.97</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1</w:t>
      </w:r>
      <w:r>
        <w:rPr>
          <w:rStyle w:val="18"/>
          <w:rFonts w:hint="default" w:ascii="Times New Roman" w:hAnsi="Times New Roman" w:eastAsia="仿宋" w:cs="Times New Roman"/>
          <w:bCs/>
          <w:color w:val="auto"/>
          <w:sz w:val="32"/>
          <w:szCs w:val="32"/>
          <w:highlight w:val="none"/>
          <w:lang w:val="en-US" w:eastAsia="zh-CN"/>
        </w:rPr>
        <w:t>2</w:t>
      </w:r>
      <w:r>
        <w:rPr>
          <w:rStyle w:val="18"/>
          <w:rFonts w:hint="default" w:ascii="Times New Roman" w:hAnsi="Times New Roman" w:eastAsia="仿宋" w:cs="Times New Roman"/>
          <w:bCs/>
          <w:color w:val="auto"/>
          <w:sz w:val="32"/>
          <w:szCs w:val="32"/>
          <w:highlight w:val="none"/>
        </w:rPr>
        <w:t>.卫生健康支出（类）行政事业单位医疗（款）公务员医疗补助（项）: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2.64</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13.住房保障支出（类）住房改革支出（款）住房公积金（项）:</w:t>
      </w:r>
      <w:r>
        <w:rPr>
          <w:rStyle w:val="18"/>
          <w:rFonts w:hint="default" w:ascii="Times New Roman" w:hAnsi="Times New Roman" w:eastAsia="仿宋" w:cs="Times New Roman"/>
          <w:b w:val="0"/>
          <w:bCs w:val="0"/>
          <w:color w:val="auto"/>
          <w:sz w:val="32"/>
          <w:szCs w:val="32"/>
          <w:highlight w:val="none"/>
        </w:rPr>
        <w:t>支出</w:t>
      </w:r>
      <w:r>
        <w:rPr>
          <w:rFonts w:hint="default" w:ascii="Times New Roman" w:hAnsi="Times New Roman" w:eastAsia="仿宋_GB2312" w:cs="Times New Roman"/>
          <w:b w:val="0"/>
          <w:bCs w:val="0"/>
          <w:kern w:val="0"/>
          <w:sz w:val="32"/>
          <w:szCs w:val="32"/>
        </w:rPr>
        <w:t>决算</w:t>
      </w:r>
      <w:r>
        <w:rPr>
          <w:rFonts w:hint="default" w:ascii="Times New Roman" w:hAnsi="Times New Roman" w:eastAsia="仿宋_GB2312" w:cs="Times New Roman"/>
          <w:bCs/>
          <w:kern w:val="0"/>
          <w:sz w:val="32"/>
          <w:szCs w:val="32"/>
        </w:rPr>
        <w:t>为</w:t>
      </w:r>
      <w:r>
        <w:rPr>
          <w:rFonts w:hint="default" w:ascii="Times New Roman" w:hAnsi="Times New Roman" w:eastAsia="仿宋_GB2312" w:cs="Times New Roman"/>
          <w:bCs/>
          <w:kern w:val="0"/>
          <w:sz w:val="32"/>
          <w:szCs w:val="32"/>
          <w:lang w:val="en-US" w:eastAsia="zh-CN"/>
        </w:rPr>
        <w:t>21.03</w:t>
      </w:r>
      <w:r>
        <w:rPr>
          <w:rFonts w:hint="default" w:ascii="Times New Roman" w:hAnsi="Times New Roman" w:eastAsia="仿宋_GB2312" w:cs="Times New Roman"/>
          <w:bCs/>
          <w:kern w:val="0"/>
          <w:sz w:val="32"/>
          <w:szCs w:val="32"/>
        </w:rPr>
        <w:t>万元，完成预算100%，决算数等于预算数。</w:t>
      </w:r>
    </w:p>
    <w:p>
      <w:pPr>
        <w:spacing w:line="570" w:lineRule="exact"/>
        <w:ind w:firstLine="643" w:firstLineChars="200"/>
        <w:rPr>
          <w:rFonts w:hint="default" w:ascii="Times New Roman" w:hAnsi="Times New Roman" w:eastAsia="仿宋_GB2312" w:cs="Times New Roman"/>
          <w:bCs/>
          <w:kern w:val="0"/>
          <w:sz w:val="32"/>
          <w:szCs w:val="32"/>
        </w:rPr>
      </w:pPr>
      <w:r>
        <w:rPr>
          <w:rStyle w:val="18"/>
          <w:rFonts w:hint="default" w:ascii="Times New Roman" w:hAnsi="Times New Roman" w:eastAsia="仿宋" w:cs="Times New Roman"/>
          <w:bCs/>
          <w:color w:val="auto"/>
          <w:sz w:val="32"/>
          <w:szCs w:val="32"/>
          <w:highlight w:val="none"/>
        </w:rPr>
        <w:t>14.住房保障支出（类）住房改革支出（款）购房补贴（项）:</w:t>
      </w:r>
      <w:r>
        <w:rPr>
          <w:rFonts w:hint="default" w:ascii="Times New Roman" w:hAnsi="Times New Roman" w:eastAsia="仿宋_GB2312" w:cs="Times New Roman"/>
          <w:bCs/>
          <w:kern w:val="0"/>
          <w:sz w:val="32"/>
          <w:szCs w:val="32"/>
        </w:rPr>
        <w:t>支出决算为</w:t>
      </w:r>
      <w:r>
        <w:rPr>
          <w:rFonts w:hint="default" w:ascii="Times New Roman" w:hAnsi="Times New Roman" w:eastAsia="仿宋_GB2312" w:cs="Times New Roman"/>
          <w:bCs/>
          <w:kern w:val="0"/>
          <w:sz w:val="32"/>
          <w:szCs w:val="32"/>
          <w:lang w:val="en-US" w:eastAsia="zh-CN"/>
        </w:rPr>
        <w:t>4.86</w:t>
      </w:r>
      <w:r>
        <w:rPr>
          <w:rFonts w:hint="default" w:ascii="Times New Roman" w:hAnsi="Times New Roman" w:eastAsia="仿宋_GB2312" w:cs="Times New Roman"/>
          <w:bCs/>
          <w:kern w:val="0"/>
          <w:sz w:val="32"/>
          <w:szCs w:val="32"/>
        </w:rPr>
        <w:t>万元，完成预算100%，决算数等于预算数。</w:t>
      </w:r>
    </w:p>
    <w:p>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34" w:name="_Toc15377214"/>
      <w:bookmarkStart w:id="35"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34"/>
      <w:bookmarkEnd w:id="35"/>
      <w:r>
        <w:rPr>
          <w:rStyle w:val="29"/>
          <w:rFonts w:hint="default" w:ascii="Times New Roman" w:hAnsi="Times New Roman" w:eastAsia="黑体" w:cs="Times New Roman"/>
          <w:b w:val="0"/>
          <w:color w:val="auto"/>
          <w:highlight w:val="none"/>
        </w:rPr>
        <w:tab/>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年一般公共预算财政拨款基本支出</w:t>
      </w:r>
      <w:r>
        <w:rPr>
          <w:rFonts w:hint="default" w:ascii="Times New Roman" w:hAnsi="Times New Roman" w:eastAsia="仿宋" w:cs="Times New Roman"/>
          <w:color w:val="auto"/>
          <w:sz w:val="32"/>
          <w:szCs w:val="32"/>
          <w:highlight w:val="none"/>
          <w:lang w:val="en-US" w:eastAsia="zh-CN"/>
        </w:rPr>
        <w:t>428.81</w:t>
      </w:r>
      <w:r>
        <w:rPr>
          <w:rFonts w:hint="default" w:ascii="Times New Roman" w:hAnsi="Times New Roman" w:eastAsia="仿宋" w:cs="Times New Roman"/>
          <w:color w:val="auto"/>
          <w:sz w:val="32"/>
          <w:szCs w:val="32"/>
          <w:highlight w:val="none"/>
        </w:rPr>
        <w:t>万元，其中：</w:t>
      </w:r>
    </w:p>
    <w:p>
      <w:pPr>
        <w:spacing w:line="600" w:lineRule="exact"/>
        <w:ind w:firstLine="645"/>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350.46</w:t>
      </w:r>
      <w:r>
        <w:rPr>
          <w:rFonts w:hint="default" w:ascii="Times New Roman" w:hAnsi="Times New Roman" w:eastAsia="仿宋" w:cs="Times New Roman"/>
          <w:color w:val="auto"/>
          <w:sz w:val="32"/>
          <w:szCs w:val="32"/>
          <w:highlight w:val="none"/>
        </w:rPr>
        <w:t>万元，主要包括：基本工资、津贴补贴、奖金、绩效工资、机关事业单位基本养老保险缴费、职业年金缴费、其他社会保障缴费、其他工资福利支出、奖励金、住房公积金、其他对个人和家庭的补助支出等。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78.35</w:t>
      </w:r>
      <w:r>
        <w:rPr>
          <w:rFonts w:hint="default" w:ascii="Times New Roman" w:hAnsi="Times New Roman" w:eastAsia="仿宋" w:cs="Times New Roman"/>
          <w:color w:val="auto"/>
          <w:sz w:val="32"/>
          <w:szCs w:val="32"/>
          <w:highlight w:val="none"/>
        </w:rPr>
        <w:t>万元，主要包括：办公费、邮电费</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物业管理费、差旅费、会议费、培训费、公务接待费、劳务费、委托业务费、工会经费、福利费、公务用车运行维护费、其他交通费等。</w:t>
      </w:r>
    </w:p>
    <w:p>
      <w:pPr>
        <w:spacing w:line="600" w:lineRule="exact"/>
        <w:ind w:firstLine="640"/>
        <w:outlineLvl w:val="1"/>
        <w:rPr>
          <w:rStyle w:val="29"/>
          <w:rFonts w:hint="default" w:ascii="Times New Roman" w:hAnsi="Times New Roman" w:eastAsia="黑体" w:cs="Times New Roman"/>
          <w:b w:val="0"/>
          <w:color w:val="auto"/>
          <w:highlight w:val="none"/>
        </w:rPr>
      </w:pPr>
      <w:bookmarkStart w:id="36" w:name="_Toc15396609"/>
      <w:bookmarkStart w:id="37" w:name="_Toc15377215"/>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36"/>
      <w:bookmarkEnd w:id="37"/>
    </w:p>
    <w:p>
      <w:pPr>
        <w:spacing w:line="600" w:lineRule="exact"/>
        <w:ind w:firstLine="640"/>
        <w:outlineLvl w:val="2"/>
        <w:rPr>
          <w:rFonts w:hint="default" w:ascii="Times New Roman" w:hAnsi="Times New Roman" w:eastAsia="仿宋" w:cs="Times New Roman"/>
          <w:b/>
          <w:color w:val="auto"/>
          <w:sz w:val="32"/>
          <w:szCs w:val="32"/>
          <w:highlight w:val="none"/>
        </w:rPr>
      </w:pPr>
      <w:bookmarkStart w:id="38" w:name="_Toc15377216"/>
      <w:r>
        <w:rPr>
          <w:rFonts w:hint="default" w:ascii="Times New Roman" w:hAnsi="Times New Roman" w:eastAsia="仿宋" w:cs="Times New Roman"/>
          <w:b/>
          <w:color w:val="auto"/>
          <w:sz w:val="32"/>
          <w:szCs w:val="32"/>
          <w:highlight w:val="none"/>
        </w:rPr>
        <w:t>（一）“三公”经费财政拨款支出决算总体情况说明</w:t>
      </w:r>
      <w:bookmarkEnd w:id="38"/>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年“三公”经费财政拨款支出决算为</w:t>
      </w:r>
      <w:r>
        <w:rPr>
          <w:rFonts w:hint="default" w:ascii="Times New Roman" w:hAnsi="Times New Roman" w:eastAsia="仿宋" w:cs="Times New Roman"/>
          <w:color w:val="auto"/>
          <w:sz w:val="32"/>
          <w:szCs w:val="32"/>
          <w:highlight w:val="none"/>
          <w:lang w:val="en-US" w:eastAsia="zh-CN"/>
        </w:rPr>
        <w:t>40.18</w:t>
      </w:r>
      <w:r>
        <w:rPr>
          <w:rFonts w:hint="default" w:ascii="Times New Roman" w:hAnsi="Times New Roman" w:eastAsia="仿宋" w:cs="Times New Roman"/>
          <w:color w:val="auto"/>
          <w:sz w:val="32"/>
          <w:szCs w:val="32"/>
          <w:highlight w:val="none"/>
        </w:rPr>
        <w:t>万元，完成预算</w:t>
      </w:r>
      <w:r>
        <w:rPr>
          <w:rFonts w:hint="eastAsia" w:eastAsia="仿宋" w:cs="Times New Roman"/>
          <w:color w:val="auto"/>
          <w:sz w:val="32"/>
          <w:szCs w:val="32"/>
          <w:highlight w:val="none"/>
          <w:lang w:val="en-US" w:eastAsia="zh-CN"/>
        </w:rPr>
        <w:t>99.95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较上年增加</w:t>
      </w:r>
      <w:r>
        <w:rPr>
          <w:rFonts w:hint="default" w:ascii="Times New Roman" w:hAnsi="Times New Roman" w:eastAsia="仿宋" w:cs="Times New Roman"/>
          <w:color w:val="auto"/>
          <w:sz w:val="32"/>
          <w:szCs w:val="32"/>
          <w:highlight w:val="none"/>
          <w:lang w:val="en-US" w:eastAsia="zh-CN"/>
        </w:rPr>
        <w:t>34.55万元，增长613.68%。</w:t>
      </w:r>
      <w:r>
        <w:rPr>
          <w:rFonts w:hint="default" w:ascii="Times New Roman" w:hAnsi="Times New Roman" w:eastAsia="仿宋" w:cs="Times New Roman"/>
          <w:color w:val="auto"/>
          <w:sz w:val="32"/>
          <w:szCs w:val="32"/>
          <w:highlight w:val="none"/>
        </w:rPr>
        <w:t>决算数小于预算数的主要原因是</w:t>
      </w:r>
      <w:r>
        <w:rPr>
          <w:rFonts w:hint="default" w:ascii="Times New Roman" w:hAnsi="Times New Roman" w:eastAsia="仿宋" w:cs="Times New Roman"/>
          <w:color w:val="auto"/>
          <w:sz w:val="32"/>
          <w:szCs w:val="32"/>
          <w:highlight w:val="none"/>
          <w:lang w:val="en-US" w:eastAsia="zh-CN"/>
        </w:rPr>
        <w:t>受疫情影响，公务接待活动减少，同时</w:t>
      </w:r>
      <w:r>
        <w:rPr>
          <w:rFonts w:hint="default" w:ascii="Times New Roman" w:hAnsi="Times New Roman" w:eastAsia="仿宋" w:cs="Times New Roman"/>
          <w:color w:val="auto"/>
          <w:sz w:val="32"/>
          <w:szCs w:val="32"/>
          <w:highlight w:val="none"/>
        </w:rPr>
        <w:t>贯彻落实中央八项规定厉行节约、压缩“三公”经费开支。</w:t>
      </w:r>
    </w:p>
    <w:p>
      <w:pPr>
        <w:spacing w:line="600" w:lineRule="exact"/>
        <w:ind w:firstLine="640"/>
        <w:outlineLvl w:val="2"/>
        <w:rPr>
          <w:rFonts w:hint="default" w:ascii="Times New Roman" w:hAnsi="Times New Roman" w:eastAsia="仿宋" w:cs="Times New Roman"/>
          <w:b/>
          <w:color w:val="auto"/>
          <w:sz w:val="32"/>
          <w:szCs w:val="32"/>
          <w:highlight w:val="none"/>
        </w:rPr>
      </w:pPr>
      <w:bookmarkStart w:id="39" w:name="_Toc15377217"/>
      <w:r>
        <w:rPr>
          <w:rFonts w:hint="default" w:ascii="Times New Roman" w:hAnsi="Times New Roman" w:eastAsia="仿宋" w:cs="Times New Roman"/>
          <w:b/>
          <w:color w:val="auto"/>
          <w:sz w:val="32"/>
          <w:szCs w:val="32"/>
          <w:highlight w:val="none"/>
        </w:rPr>
        <w:t>（二）“三公”经费财政拨款支出决算具体情况说明</w:t>
      </w:r>
      <w:bookmarkEnd w:id="39"/>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39.79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99.03</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0.39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0.97</w:t>
      </w:r>
      <w:r>
        <w:rPr>
          <w:rFonts w:hint="default" w:ascii="Times New Roman" w:hAnsi="Times New Roman" w:eastAsia="仿宋" w:cs="Times New Roman"/>
          <w:color w:val="auto"/>
          <w:sz w:val="32"/>
          <w:szCs w:val="32"/>
          <w:highlight w:val="none"/>
        </w:rPr>
        <w:t>%。具体情况如下：</w:t>
      </w:r>
    </w:p>
    <w:p>
      <w:pPr>
        <w:spacing w:line="240" w:lineRule="auto"/>
        <w:jc w:val="center"/>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bCs/>
          <w:kern w:val="0"/>
          <w:sz w:val="32"/>
          <w:szCs w:val="32"/>
        </w:rPr>
        <w:drawing>
          <wp:anchor distT="0" distB="0" distL="114300" distR="114300" simplePos="0" relativeHeight="251665408" behindDoc="0" locked="0" layoutInCell="1" allowOverlap="1">
            <wp:simplePos x="0" y="0"/>
            <wp:positionH relativeFrom="column">
              <wp:posOffset>385445</wp:posOffset>
            </wp:positionH>
            <wp:positionV relativeFrom="page">
              <wp:posOffset>3482975</wp:posOffset>
            </wp:positionV>
            <wp:extent cx="4838700" cy="2685415"/>
            <wp:effectExtent l="4445" t="4445" r="14605" b="1524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 w:cs="Times New Roman"/>
          <w:color w:val="auto"/>
          <w:sz w:val="32"/>
          <w:szCs w:val="32"/>
          <w:highlight w:val="none"/>
        </w:rPr>
        <w:t>（图7：“三公”经费财政拨款支出结构）</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bCs/>
          <w:kern w:val="0"/>
          <w:sz w:val="32"/>
          <w:szCs w:val="32"/>
        </w:rPr>
        <w:t>因公出国（境）支出决算与202</w:t>
      </w:r>
      <w:r>
        <w:rPr>
          <w:rFonts w:hint="default" w:ascii="Times New Roman" w:hAnsi="Times New Roman"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年相比持平。</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39.79</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eastAsia" w:eastAsia="仿宋" w:cs="Times New Roman"/>
          <w:b w:val="0"/>
          <w:bCs/>
          <w:color w:val="auto"/>
          <w:sz w:val="32"/>
          <w:szCs w:val="32"/>
          <w:highlight w:val="none"/>
          <w:lang w:val="en-US" w:eastAsia="zh-CN"/>
        </w:rPr>
        <w:t>98.97</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34.36</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632.78</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sz w:val="32"/>
          <w:szCs w:val="32"/>
        </w:rPr>
        <w:t>今年编制内更新一辆特种专业技术用车购置支出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根据工作需要深入基层为残疾人提供服务增加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公务用车运行维护费增加</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33.8</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辆，其中：越野车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33.8</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val="en-US" w:eastAsia="zh-CN"/>
        </w:rPr>
        <w:t>购置公务用车支出</w:t>
      </w: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年12月底，单位共有公务用车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越野车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p>
    <w:p>
      <w:pPr>
        <w:spacing w:line="578"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color w:val="auto"/>
          <w:sz w:val="32"/>
          <w:szCs w:val="32"/>
          <w:highlight w:val="none"/>
        </w:rPr>
        <w:t>公务用车运行维护费支出</w:t>
      </w:r>
      <w:r>
        <w:rPr>
          <w:rFonts w:hint="eastAsia" w:eastAsia="仿宋_GB2312" w:cs="Times New Roman"/>
          <w:color w:val="auto"/>
          <w:sz w:val="32"/>
          <w:szCs w:val="32"/>
          <w:highlight w:val="none"/>
          <w:lang w:val="en-US" w:eastAsia="zh-CN"/>
        </w:rPr>
        <w:t>5.99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Cs/>
          <w:kern w:val="0"/>
          <w:sz w:val="32"/>
          <w:szCs w:val="32"/>
        </w:rPr>
        <w:t>主要用于量服入户调研慰问、开展项目等所需的公务用车燃料费、维修费、过路过桥费、保险费支出。</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0.39</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16.25</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0.19</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本年公务接待活动有所增加</w:t>
      </w:r>
      <w:r>
        <w:rPr>
          <w:rFonts w:hint="default" w:ascii="Times New Roman" w:hAnsi="Times New Roman" w:eastAsia="仿宋_GB2312" w:cs="Times New Roman"/>
          <w:color w:val="auto"/>
          <w:sz w:val="32"/>
          <w:szCs w:val="32"/>
          <w:highlight w:val="none"/>
        </w:rPr>
        <w:t>。其中：</w:t>
      </w:r>
    </w:p>
    <w:p>
      <w:pPr>
        <w:snapToGrid w:val="0"/>
        <w:spacing w:line="600" w:lineRule="exact"/>
        <w:ind w:firstLine="643"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0.39</w:t>
      </w:r>
      <w:r>
        <w:rPr>
          <w:rFonts w:hint="default" w:ascii="Times New Roman" w:hAnsi="Times New Roman" w:eastAsia="仿宋_GB2312" w:cs="Times New Roman"/>
          <w:color w:val="auto"/>
          <w:sz w:val="32"/>
          <w:szCs w:val="32"/>
          <w:highlight w:val="none"/>
        </w:rPr>
        <w:t>万元，主要</w:t>
      </w:r>
      <w:r>
        <w:rPr>
          <w:rFonts w:ascii="Times New Roman" w:hAnsi="Times New Roman" w:eastAsia="仿宋_GB2312"/>
          <w:sz w:val="32"/>
          <w:szCs w:val="32"/>
        </w:rPr>
        <w:t>用于执行公务、开展业务活动开支的交通费、住宿费、用餐费等</w:t>
      </w:r>
      <w:r>
        <w:rPr>
          <w:rFonts w:hint="default" w:ascii="Times New Roman" w:hAnsi="Times New Roman" w:eastAsia="仿宋_GB2312" w:cs="Times New Roman"/>
          <w:color w:val="auto"/>
          <w:sz w:val="32"/>
          <w:szCs w:val="32"/>
          <w:highlight w:val="none"/>
        </w:rPr>
        <w:t>。国内公务接待</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批次</w:t>
      </w:r>
      <w:r>
        <w:rPr>
          <w:rFonts w:hint="eastAsia"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人次，共计支出</w:t>
      </w:r>
      <w:r>
        <w:rPr>
          <w:rFonts w:hint="eastAsia" w:ascii="Times New Roman" w:hAnsi="Times New Roman" w:eastAsia="仿宋_GB2312" w:cs="Times New Roman"/>
          <w:color w:val="auto"/>
          <w:sz w:val="32"/>
          <w:szCs w:val="32"/>
          <w:highlight w:val="none"/>
          <w:lang w:val="en-US" w:eastAsia="zh-CN"/>
        </w:rPr>
        <w:t>0.39</w:t>
      </w:r>
      <w:r>
        <w:rPr>
          <w:rFonts w:hint="default" w:ascii="Times New Roman" w:hAnsi="Times New Roman" w:eastAsia="仿宋_GB2312" w:cs="Times New Roman"/>
          <w:color w:val="auto"/>
          <w:sz w:val="32"/>
          <w:szCs w:val="32"/>
          <w:highlight w:val="none"/>
        </w:rPr>
        <w:t>万元，具体内容包括：</w:t>
      </w:r>
      <w:r>
        <w:rPr>
          <w:rFonts w:ascii="Times New Roman" w:hAnsi="Times New Roman" w:eastAsia="仿宋_GB2312"/>
          <w:sz w:val="32"/>
          <w:szCs w:val="32"/>
        </w:rPr>
        <w:t>上级残联莅泸开展调研、宣讲以及浙江丽水到泸考察交流活动支出。</w:t>
      </w:r>
      <w:r>
        <w:rPr>
          <w:rFonts w:hint="default" w:ascii="Times New Roman" w:hAnsi="Times New Roman" w:eastAsia="仿宋" w:cs="Times New Roman"/>
          <w:b/>
          <w:color w:val="auto"/>
          <w:sz w:val="32"/>
          <w:szCs w:val="32"/>
          <w:highlight w:val="none"/>
        </w:rPr>
        <w:t>外事接待支出</w:t>
      </w:r>
      <w:r>
        <w:rPr>
          <w:rFonts w:hint="eastAsia"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p>
    <w:p>
      <w:pPr>
        <w:spacing w:line="600" w:lineRule="exact"/>
        <w:ind w:firstLine="640"/>
        <w:outlineLvl w:val="1"/>
        <w:rPr>
          <w:rStyle w:val="29"/>
          <w:rFonts w:hint="default" w:ascii="Times New Roman" w:hAnsi="Times New Roman" w:eastAsia="黑体" w:cs="Times New Roman"/>
          <w:color w:val="auto"/>
          <w:highlight w:val="none"/>
        </w:rPr>
      </w:pPr>
      <w:bookmarkStart w:id="40" w:name="_Toc15377218"/>
      <w:bookmarkStart w:id="41" w:name="_Toc15396610"/>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40"/>
      <w:bookmarkEnd w:id="41"/>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eastAsia"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outlineLvl w:val="1"/>
        <w:rPr>
          <w:rStyle w:val="29"/>
          <w:rFonts w:hint="default" w:ascii="Times New Roman" w:hAnsi="Times New Roman" w:eastAsia="黑体" w:cs="Times New Roman"/>
          <w:b w:val="0"/>
          <w:color w:val="auto"/>
          <w:highlight w:val="none"/>
        </w:rPr>
      </w:pPr>
      <w:bookmarkStart w:id="42" w:name="_Toc15377219"/>
      <w:bookmarkStart w:id="43" w:name="_Toc15396611"/>
      <w:r>
        <w:rPr>
          <w:rStyle w:val="29"/>
          <w:rFonts w:hint="default" w:ascii="Times New Roman" w:hAnsi="Times New Roman" w:eastAsia="黑体" w:cs="Times New Roman"/>
          <w:b w:val="0"/>
          <w:color w:val="auto"/>
          <w:highlight w:val="none"/>
        </w:rPr>
        <w:t>国有资本经营预算支出决算情况说明</w:t>
      </w:r>
      <w:bookmarkEnd w:id="42"/>
      <w:bookmarkEnd w:id="43"/>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outlineLvl w:val="1"/>
        <w:rPr>
          <w:rStyle w:val="29"/>
          <w:rFonts w:hint="default" w:ascii="Times New Roman" w:hAnsi="Times New Roman" w:eastAsia="黑体" w:cs="Times New Roman"/>
          <w:b w:val="0"/>
          <w:color w:val="auto"/>
          <w:highlight w:val="none"/>
        </w:rPr>
      </w:pPr>
      <w:bookmarkStart w:id="44" w:name="_Toc15377221"/>
      <w:bookmarkStart w:id="45" w:name="_Toc15396612"/>
      <w:r>
        <w:rPr>
          <w:rStyle w:val="29"/>
          <w:rFonts w:hint="default" w:ascii="Times New Roman" w:hAnsi="Times New Roman" w:eastAsia="黑体" w:cs="Times New Roman"/>
          <w:b w:val="0"/>
          <w:color w:val="auto"/>
          <w:highlight w:val="none"/>
        </w:rPr>
        <w:t>其他重要事项的情况说明</w:t>
      </w:r>
      <w:bookmarkEnd w:id="44"/>
      <w:bookmarkEnd w:id="45"/>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46" w:name="_Toc15377222"/>
      <w:r>
        <w:rPr>
          <w:rFonts w:hint="default" w:ascii="Times New Roman" w:hAnsi="Times New Roman" w:eastAsia="仿宋" w:cs="Times New Roman"/>
          <w:b/>
          <w:color w:val="auto"/>
          <w:sz w:val="32"/>
          <w:szCs w:val="32"/>
          <w:highlight w:val="none"/>
        </w:rPr>
        <w:t>（一）机关运行经费支出情况</w:t>
      </w:r>
      <w:bookmarkEnd w:id="46"/>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市残联</w:t>
      </w:r>
      <w:r>
        <w:rPr>
          <w:rFonts w:hint="default" w:ascii="Times New Roman" w:hAnsi="Times New Roman" w:eastAsia="仿宋_GB2312" w:cs="Times New Roman"/>
          <w:color w:val="auto"/>
          <w:sz w:val="32"/>
          <w:szCs w:val="32"/>
          <w:highlight w:val="none"/>
        </w:rPr>
        <w:t>机关运行经费支出</w:t>
      </w:r>
      <w:r>
        <w:rPr>
          <w:rFonts w:hint="eastAsia" w:ascii="Times New Roman" w:hAnsi="Times New Roman" w:eastAsia="仿宋_GB2312" w:cs="Times New Roman"/>
          <w:color w:val="auto"/>
          <w:sz w:val="32"/>
          <w:szCs w:val="32"/>
          <w:highlight w:val="none"/>
          <w:lang w:val="en-US" w:eastAsia="zh-CN"/>
        </w:rPr>
        <w:t>78.35</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eastAsia" w:ascii="Times New Roman" w:hAnsi="Times New Roman" w:eastAsia="仿宋_GB2312" w:cs="Times New Roman"/>
          <w:color w:val="auto"/>
          <w:sz w:val="32"/>
          <w:szCs w:val="32"/>
          <w:highlight w:val="none"/>
          <w:lang w:val="en-US" w:eastAsia="zh-CN"/>
        </w:rPr>
        <w:t>6.13</w:t>
      </w:r>
      <w:r>
        <w:rPr>
          <w:rFonts w:hint="default"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8.49</w:t>
      </w:r>
      <w:r>
        <w:rPr>
          <w:rFonts w:hint="default" w:ascii="Times New Roman" w:hAnsi="Times New Roman" w:eastAsia="仿宋_GB2312" w:cs="Times New Roman"/>
          <w:color w:val="auto"/>
          <w:sz w:val="32"/>
          <w:szCs w:val="32"/>
          <w:highlight w:val="none"/>
        </w:rPr>
        <w:t>%。主要原因是</w:t>
      </w:r>
      <w:r>
        <w:rPr>
          <w:rFonts w:hint="eastAsia" w:ascii="Times New Roman" w:hAnsi="Times New Roman" w:eastAsia="仿宋_GB2312" w:cs="Times New Roman"/>
          <w:color w:val="auto"/>
          <w:sz w:val="32"/>
          <w:szCs w:val="32"/>
          <w:highlight w:val="none"/>
          <w:lang w:val="en-US" w:eastAsia="zh-CN"/>
        </w:rPr>
        <w:t>人员增加，职工公务交通补贴支出增加、福利费和工会经费支出增加。</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47" w:name="_Toc15377223"/>
      <w:r>
        <w:rPr>
          <w:rFonts w:hint="default" w:ascii="Times New Roman" w:hAnsi="Times New Roman" w:eastAsia="仿宋" w:cs="Times New Roman"/>
          <w:b/>
          <w:color w:val="auto"/>
          <w:sz w:val="32"/>
          <w:szCs w:val="32"/>
          <w:highlight w:val="none"/>
        </w:rPr>
        <w:t>（二）政府采购支出情况</w:t>
      </w:r>
      <w:bookmarkEnd w:id="47"/>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市残联机关</w:t>
      </w:r>
      <w:r>
        <w:rPr>
          <w:rFonts w:hint="default" w:ascii="Times New Roman" w:hAnsi="Times New Roman" w:eastAsia="仿宋_GB2312" w:cs="Times New Roman"/>
          <w:color w:val="auto"/>
          <w:sz w:val="32"/>
          <w:szCs w:val="32"/>
          <w:highlight w:val="none"/>
        </w:rPr>
        <w:t>政府采购支出总额</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48" w:name="_Toc15377224"/>
      <w:r>
        <w:rPr>
          <w:rFonts w:hint="default" w:ascii="Times New Roman" w:hAnsi="Times New Roman" w:eastAsia="仿宋" w:cs="Times New Roman"/>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eastAsia" w:ascii="Times New Roman" w:hAnsi="Times New Roman" w:eastAsia="仿宋_GB2312" w:cs="Times New Roman"/>
          <w:color w:val="auto"/>
          <w:sz w:val="32"/>
          <w:szCs w:val="32"/>
          <w:highlight w:val="none"/>
          <w:lang w:val="en-US" w:eastAsia="zh-CN"/>
        </w:rPr>
        <w:t>市残联机关</w:t>
      </w:r>
      <w:r>
        <w:rPr>
          <w:rFonts w:hint="default" w:ascii="Times New Roman" w:hAnsi="Times New Roman" w:eastAsia="仿宋_GB2312" w:cs="Times New Roman"/>
          <w:color w:val="auto"/>
          <w:sz w:val="32"/>
          <w:szCs w:val="32"/>
          <w:highlight w:val="none"/>
        </w:rPr>
        <w:t>共有车辆</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辆，其中：主要领导干部用车</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eastAsia" w:ascii="Times New Roman" w:hAnsi="Times New Roman" w:eastAsia="仿宋_GB2312" w:cs="Times New Roman"/>
          <w:color w:val="auto"/>
          <w:sz w:val="32"/>
          <w:szCs w:val="32"/>
          <w:highlight w:val="none"/>
          <w:lang w:val="en-US" w:eastAsia="zh-CN"/>
        </w:rPr>
        <w:t>特种专业技术用车1辆、</w:t>
      </w:r>
      <w:r>
        <w:rPr>
          <w:rFonts w:hint="default" w:ascii="Times New Roman" w:hAnsi="Times New Roman" w:eastAsia="仿宋_GB2312" w:cs="Times New Roman"/>
          <w:color w:val="auto"/>
          <w:sz w:val="32"/>
          <w:szCs w:val="32"/>
          <w:highlight w:val="none"/>
        </w:rPr>
        <w:t>其他用车</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单价100万元以上专用设备</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lang w:eastAsia="zh-CN"/>
        </w:rPr>
      </w:pPr>
      <w:r>
        <w:rPr>
          <w:rFonts w:hint="default" w:ascii="Times New Roman" w:hAnsi="Times New Roman" w:eastAsia="仿宋" w:cs="Times New Roman"/>
          <w:b/>
          <w:color w:val="auto"/>
          <w:sz w:val="32"/>
          <w:szCs w:val="32"/>
          <w:highlight w:val="none"/>
        </w:rPr>
        <w:t>（四）预算绩效管理情况</w:t>
      </w:r>
    </w:p>
    <w:p>
      <w:pPr>
        <w:pStyle w:val="5"/>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根据预算绩效管理要求，本单位在202</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w:t>
      </w:r>
      <w:r>
        <w:rPr>
          <w:rFonts w:hint="eastAsia" w:ascii="Times New Roman" w:cs="Times New Roman"/>
          <w:color w:val="auto"/>
          <w:sz w:val="32"/>
          <w:szCs w:val="32"/>
          <w:highlight w:val="none"/>
          <w:lang w:eastAsia="zh-CN"/>
        </w:rPr>
        <w:t>，</w:t>
      </w:r>
      <w:r>
        <w:rPr>
          <w:rFonts w:ascii="Times New Roman" w:hAnsi="Times New Roman" w:eastAsia="仿宋_GB2312"/>
          <w:sz w:val="32"/>
          <w:szCs w:val="32"/>
        </w:rPr>
        <w:t>组织对市北部残疾人康复中心建设前期经费项目开展了预算事前绩效评估，对13个项目编制了绩效目标，预算执行过程中，对所有项目实施了年中预算绩效执行情况监控，对</w:t>
      </w:r>
      <w:r>
        <w:rPr>
          <w:rFonts w:hint="eastAsia" w:ascii="Times New Roman" w:hAnsi="Times New Roman" w:eastAsia="仿宋_GB2312"/>
          <w:sz w:val="32"/>
          <w:szCs w:val="32"/>
        </w:rPr>
        <w:t>13</w:t>
      </w:r>
      <w:r>
        <w:rPr>
          <w:rFonts w:ascii="Times New Roman" w:hAnsi="Times New Roman" w:eastAsia="仿宋_GB2312"/>
          <w:sz w:val="32"/>
          <w:szCs w:val="32"/>
        </w:rPr>
        <w:t>个项目开展了绩效目标完成情况自评</w:t>
      </w:r>
      <w:r>
        <w:rPr>
          <w:rFonts w:hint="eastAsia" w:ascii="Times New Roman" w:hAnsi="Times New Roman"/>
          <w:sz w:val="32"/>
          <w:szCs w:val="32"/>
          <w:lang w:eastAsia="zh-CN"/>
        </w:rPr>
        <w:t>，</w:t>
      </w:r>
      <w:r>
        <w:rPr>
          <w:rFonts w:hint="default" w:ascii="Times New Roman" w:hAnsi="Times New Roman" w:eastAsia="仿宋_GB2312" w:cs="Times New Roman"/>
          <w:color w:val="auto"/>
          <w:sz w:val="32"/>
          <w:szCs w:val="32"/>
          <w:highlight w:val="none"/>
        </w:rPr>
        <w:t>绩效自评表详见</w:t>
      </w:r>
      <w:r>
        <w:rPr>
          <w:rFonts w:hint="default" w:ascii="Times New Roman" w:hAnsi="Times New Roman" w:cs="Times New Roman"/>
          <w:color w:val="auto"/>
          <w:sz w:val="32"/>
          <w:szCs w:val="32"/>
          <w:highlight w:val="none"/>
          <w:lang w:eastAsia="zh-CN"/>
        </w:rPr>
        <w:t>第四部分</w:t>
      </w:r>
      <w:r>
        <w:rPr>
          <w:rFonts w:hint="default" w:ascii="Times New Roman" w:hAnsi="Times New Roman" w:eastAsia="仿宋_GB2312" w:cs="Times New Roman"/>
          <w:color w:val="auto"/>
          <w:sz w:val="32"/>
          <w:szCs w:val="32"/>
          <w:highlight w:val="none"/>
        </w:rPr>
        <w:t>附件。</w:t>
      </w:r>
    </w:p>
    <w:p>
      <w:pPr>
        <w:numPr>
          <w:ilvl w:val="0"/>
          <w:numId w:val="3"/>
        </w:num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量服工作经费”项目绩效目标完成情况综述。年初预算批复资金60万元，资金实际到位数为60万元，执行数为57.99万元，执行率96.65%。通过项目实施，主要完成了以下工作：一是通过开展精准入户调研、服务、监督，督促“量服”康复、教就、维权、组联、宣文等的资金落地，提升各级残联为残疾人服务的精准度；二是通过量服培训，提高各级残疾人工作者服务残疾人的能力和水平；三是通过召开量服工作会议，了解区县各阶段工作开展情况，安排部署各项工作任务，进一步促进我市残疾人事业发展。</w:t>
      </w:r>
    </w:p>
    <w:p>
      <w:pPr>
        <w:numPr>
          <w:ilvl w:val="0"/>
          <w:numId w:val="3"/>
        </w:num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办公室规范化、信息化”项目绩效目标完成情况综述。年初预算批复资金60万元，年中财政追减公务用车购置及运行维护费1.2万元，年终财政收回结余资金10万元，资金实际到位数为48.8万元，执行数为44.62万元，执行率91.43%。通过项目实施，主要完成了以下工作：一是保障市残联门户网站、微信公众号等信息平台的正常运行；二是完成特种专业技术用车更替工作，同时保障了特种专业技术用车正常运行，为全市残疾人提供“量体裁衣”式个性化服务。</w:t>
      </w:r>
    </w:p>
    <w:p>
      <w:pPr>
        <w:pStyle w:val="15"/>
        <w:shd w:val="clear" w:color="auto" w:fill="FFFFFF"/>
        <w:spacing w:before="0" w:beforeAutospacing="0" w:after="0" w:afterAutospacing="0" w:line="600" w:lineRule="exact"/>
        <w:ind w:right="150" w:firstLine="63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（3）“联系村帮扶工作经费” 项目绩效目标完成情况综述。年初预算批复资金3万元，执行数为3万元，执行率100%。通过项目的实施，有力保障了我会驻村干部在帮扶村工作期间产生的车费、伙食费和公杂费补助、艰苦边远地区津贴、乡镇工作补贴等支出，全面完成了政府下达的帮扶任务。</w:t>
      </w:r>
    </w:p>
    <w:p>
      <w:pPr>
        <w:widowControl/>
        <w:adjustRightInd w:val="0"/>
        <w:snapToGrid w:val="0"/>
        <w:spacing w:line="600" w:lineRule="exact"/>
        <w:ind w:firstLine="640" w:firstLineChars="200"/>
        <w:contextualSpacing/>
        <w:jc w:val="left"/>
        <w:rPr>
          <w:rFonts w:ascii="Times New Roman" w:hAnsi="Times New Roman" w:eastAsia="仿宋_GB2312"/>
          <w:sz w:val="32"/>
          <w:szCs w:val="32"/>
          <w:highlight w:val="yellow"/>
        </w:rPr>
      </w:pPr>
      <w:r>
        <w:rPr>
          <w:rFonts w:ascii="Times New Roman" w:hAnsi="Times New Roman" w:eastAsia="仿宋_GB2312"/>
          <w:sz w:val="32"/>
          <w:szCs w:val="32"/>
        </w:rPr>
        <w:t>（4）“圆梦助学”工程项目绩效目标完成情况综述。年初预算批复资金250万元，年中追加预算132.5万元，资金实际到位数为382.5万元，执行数382.5万元，执行率100%</w:t>
      </w:r>
      <w:r>
        <w:rPr>
          <w:rFonts w:hint="eastAsia" w:ascii="仿宋_GB2312" w:hAnsi="仿宋_GB2312" w:eastAsia="仿宋_GB2312" w:cs="仿宋_GB2312"/>
          <w:sz w:val="32"/>
          <w:szCs w:val="32"/>
        </w:rPr>
        <w:t>。全年共资助931名残疾大学生和残疾人子女大学生上大学，通过项目的实施，切实帮助了全市残疾大学生和残疾人子女大学生上大学，使残疾群众获得更多幸福感安全感满足感和为进一步完善多层次的教育保障体系，体现教育公平，实现残疾高质量就业打下坚实基础。</w:t>
      </w:r>
    </w:p>
    <w:p>
      <w:pPr>
        <w:ind w:firstLine="640" w:firstLineChars="200"/>
        <w:rPr>
          <w:rFonts w:ascii="Times New Roman" w:hAnsi="Times New Roman"/>
          <w:sz w:val="32"/>
          <w:szCs w:val="32"/>
        </w:rPr>
      </w:pPr>
      <w:r>
        <w:rPr>
          <w:rFonts w:ascii="Times New Roman" w:hAnsi="Times New Roman" w:eastAsia="仿宋_GB2312"/>
          <w:sz w:val="32"/>
          <w:szCs w:val="32"/>
        </w:rPr>
        <w:t>（5）“残疾人康复救助”项目绩效目标完成情况综述。年初预算批复资金110万元，年中预算调整时调减20万元用于“残疾人组织建设”项目，年终财政收回结余资金22万元，资金实际到位数为68万元，执行数67.82万元，执行率99.73%。一是共向江阳区、龙马潭区、纳溪区接受康复训练、手术的682人次残疾儿童少年发放交通生活补助</w:t>
      </w:r>
      <w:r>
        <w:rPr>
          <w:rFonts w:hint="eastAsia" w:ascii="Times New Roman" w:hAnsi="Times New Roman" w:eastAsia="仿宋_GB2312"/>
          <w:sz w:val="32"/>
          <w:szCs w:val="32"/>
        </w:rPr>
        <w:t>56.58</w:t>
      </w:r>
      <w:r>
        <w:rPr>
          <w:rFonts w:ascii="Times New Roman" w:hAnsi="Times New Roman" w:eastAsia="仿宋_GB2312"/>
          <w:sz w:val="32"/>
          <w:szCs w:val="32"/>
        </w:rPr>
        <w:t>万元，通过项目的实施，切实保障了残疾儿童少年康复训练和手术，使残疾群众获得更多幸福感安全感满足感和为进一步完善多层次的社会保障体系，帮助残疾儿童家庭克服困难，渡过难关。二是对全市11名听障儿童实施人工耳蜗术前筛查进行救助，资金2.3</w:t>
      </w:r>
      <w:r>
        <w:rPr>
          <w:rFonts w:hint="eastAsia" w:ascii="Times New Roman" w:hAnsi="Times New Roman" w:eastAsia="仿宋_GB2312"/>
          <w:sz w:val="32"/>
          <w:szCs w:val="32"/>
        </w:rPr>
        <w:t>8</w:t>
      </w:r>
      <w:r>
        <w:rPr>
          <w:rFonts w:ascii="Times New Roman" w:hAnsi="Times New Roman" w:eastAsia="仿宋_GB2312"/>
          <w:sz w:val="32"/>
          <w:szCs w:val="32"/>
        </w:rPr>
        <w:t>万元，通过项目的实施，切实保障了全市残疾儿童人工耳蜗术前筛查质量，使残疾群众获得更多幸福感安全感和为进一步完善多层次的社会保障体系，帮助贫困残疾儿童家庭克服困难，渡过难关。三是聘请第三方机构对全市残疾儿童康复定点机构进行评审</w:t>
      </w:r>
      <w:r>
        <w:rPr>
          <w:rFonts w:hint="eastAsia" w:ascii="Times New Roman" w:hAnsi="Times New Roman" w:eastAsia="仿宋_GB2312"/>
          <w:sz w:val="32"/>
          <w:szCs w:val="32"/>
        </w:rPr>
        <w:t>，邀请专家对残疾人儿童康复项目第三方机构专家评标劳务费</w:t>
      </w:r>
      <w:r>
        <w:rPr>
          <w:rFonts w:ascii="Times New Roman" w:hAnsi="Times New Roman" w:eastAsia="仿宋_GB2312"/>
          <w:sz w:val="32"/>
          <w:szCs w:val="32"/>
        </w:rPr>
        <w:t>，</w:t>
      </w:r>
      <w:r>
        <w:rPr>
          <w:rFonts w:hint="eastAsia" w:ascii="Times New Roman" w:hAnsi="Times New Roman" w:eastAsia="仿宋_GB2312"/>
          <w:sz w:val="32"/>
          <w:szCs w:val="32"/>
        </w:rPr>
        <w:t>邀请专家残疾人儿童定点康复机构管理办法进行论证，</w:t>
      </w:r>
      <w:r>
        <w:rPr>
          <w:rFonts w:ascii="Times New Roman" w:hAnsi="Times New Roman" w:eastAsia="仿宋_GB2312"/>
          <w:sz w:val="32"/>
          <w:szCs w:val="32"/>
        </w:rPr>
        <w:t>资金</w:t>
      </w:r>
      <w:r>
        <w:rPr>
          <w:rFonts w:hint="eastAsia" w:ascii="Times New Roman" w:hAnsi="Times New Roman" w:eastAsia="仿宋_GB2312"/>
          <w:sz w:val="32"/>
          <w:szCs w:val="32"/>
        </w:rPr>
        <w:t>合计8.86</w:t>
      </w:r>
      <w:r>
        <w:rPr>
          <w:rFonts w:ascii="Times New Roman" w:hAnsi="Times New Roman" w:eastAsia="仿宋_GB2312"/>
          <w:sz w:val="32"/>
          <w:szCs w:val="32"/>
        </w:rPr>
        <w:t>万元，通过项目的实施，切实提高了全市残疾儿童康复定点机构康复服务质量，使残疾群众获得更多幸福感安全感。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残疾人宣传文化”项目绩效目标完成情况综述。年初预算批复资金48万元，资金实际到位数为48万元，执行数36万元，执行率75%。因新冠肺炎疫情影响，接疫情防控指挥部通知减少人群聚集，因此将原准备于年底开展的四川残疾人艺术团演出取消，将剩余资金用作2023年的宣传合作预付款，还剩余11.99万元。全年共合作新闻媒体4家，宣传报道共计近140次。通过项目的实施，更大范围地宣传了残疾人生活，促进健全人对残疾人的关心关爱和理解，同时丰富残疾人的文艺生活，让残疾人共享经济社会的发展成果，促进社会和谐，产生了良好的社会效益，体现了政府对残疾人的关心帮助。</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残疾人体育”项目绩效目标完成情况综述。年初预算批复资金200万元，资金实际到位数为200万元，执行数187.23万元，执行率93.62%。由于新冠肺炎疫情影响，四川省第十届残疾人运动会暨第五届奥林匹克运动会只开展了先期比赛项目，正赛期比赛项目推迟到2023年开展，全民健身运动会也未如期举行，</w:t>
      </w:r>
      <w:r>
        <w:rPr>
          <w:rFonts w:hint="eastAsia" w:ascii="Times New Roman" w:hAnsi="Times New Roman" w:eastAsia="仿宋_GB2312"/>
          <w:sz w:val="32"/>
          <w:szCs w:val="32"/>
        </w:rPr>
        <w:t>因此存在</w:t>
      </w:r>
      <w:r>
        <w:rPr>
          <w:rFonts w:ascii="Times New Roman" w:hAnsi="Times New Roman" w:eastAsia="仿宋_GB2312"/>
          <w:sz w:val="32"/>
          <w:szCs w:val="32"/>
        </w:rPr>
        <w:t>结余资金12.77万元。泸州市代表团已在四川省第十届残疾人运动会先期比赛中取得27枚奖牌（金牌10枚、银牌7枚、铜牌10枚）的好成绩，在省第五届特殊奥林匹克运动会先期比赛中获3金4银2铜。通过项目的实施，促进了残疾人身心康复、功能恢复、自立自强、自尊自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残疾人维权”项目绩效目标完成情况综述。年初预算批复资金140万元，资金实际到位数为140万元，执行数139.81万元，执行率99.86%。通过项目的实施，全年共救助慰问残疾人1368人次，切实保障了全市困难残疾人安全温暖过冬，使残疾群获得更多幸福感安全感和为进一步完善多层次的社会保障体系，帮助贫困残疾人在遭遇生活困境、重特大疾病或合法权益受到侵害等紧急情况下克服困难，渡过难关。</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残疾人组织建设”项目绩效目标完成情况综述。年初预算批复资金39万元，年中预算调整时从“残疾人康复救助”项目中调剂20万元用于此项目的实施，资金实际到位数为59万元，执行数为45.71万元，执行率77.47%。一是</w:t>
      </w:r>
      <w:r>
        <w:rPr>
          <w:rFonts w:hint="eastAsia" w:ascii="Times New Roman" w:hAnsi="Times New Roman" w:eastAsia="仿宋_GB2312"/>
          <w:sz w:val="32"/>
          <w:szCs w:val="32"/>
        </w:rPr>
        <w:t>通过开展专门协会各项活动，丰富了</w:t>
      </w:r>
      <w:r>
        <w:rPr>
          <w:rFonts w:ascii="Times New Roman" w:hAnsi="Times New Roman" w:eastAsia="仿宋_GB2312"/>
          <w:sz w:val="32"/>
          <w:szCs w:val="32"/>
        </w:rPr>
        <w:t>残疾人文化生活，让残疾人充分享受社会文明成果以及让残疾人与残联紧密连接，团结带领各类别残疾人听党话、跟党走，为各类别残疾人提供了更贴心的服务。同时残疾人参与率和社会满意率也在逐渐提高。二是市残联第八次代表大会拟在年底召开，因为新冠肺炎疫情影响，推迟到2023年1月召开，</w:t>
      </w:r>
      <w:r>
        <w:rPr>
          <w:rFonts w:hint="eastAsia" w:ascii="Times New Roman" w:hAnsi="Times New Roman" w:eastAsia="仿宋_GB2312"/>
          <w:sz w:val="32"/>
          <w:szCs w:val="32"/>
        </w:rPr>
        <w:t>导致部分资金未能及时支付。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泸州市残疾人工作者能力素质培训班”项目绩效目标完成情况综述。该项目是经市委组织部审批，财政通过以预算追加方式下达的培训经费10万元，资金实际到位数为10万元，执行数为10万元，执行率100%。主要用于组织全市残联干部</w:t>
      </w:r>
      <w:r>
        <w:rPr>
          <w:rFonts w:hint="eastAsia" w:ascii="Times New Roman" w:hAnsi="Times New Roman" w:eastAsia="仿宋_GB2312"/>
          <w:sz w:val="32"/>
          <w:szCs w:val="32"/>
        </w:rPr>
        <w:t>开展</w:t>
      </w:r>
      <w:r>
        <w:rPr>
          <w:rFonts w:ascii="Times New Roman" w:hAnsi="Times New Roman" w:eastAsia="仿宋_GB2312"/>
          <w:sz w:val="32"/>
          <w:szCs w:val="32"/>
        </w:rPr>
        <w:t>综合能力提升培训</w:t>
      </w:r>
      <w:r>
        <w:rPr>
          <w:rFonts w:hint="eastAsia" w:ascii="Times New Roman" w:hAnsi="Times New Roman" w:eastAsia="仿宋_GB2312"/>
          <w:sz w:val="32"/>
          <w:szCs w:val="32"/>
        </w:rPr>
        <w:t>，进一步提升干部综合素质及业务能力</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市北部残疾人康复中心建设前期经费”项目绩效目标完成情况综述。该项目是中央预算内投资项目市北部残疾人康复中心项目前期经费，财政通过以预算追加方式下达资金130万元，资金实际到位数为130万元，执行数为22.22万元，执行率17.09%。主要用于项目可研报告（项目建议书）编制、地堪、设计等前期工作。</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12）“省级残疾人事业发展补助资金（体彩）”项目绩效目标完成情况综述。该项目为政府性基金预算财政拨款项目，年中财政通过以预算追加方式下达资金88万元，资金实际到位数为88万元，执行数为88万元，执行率100%。</w:t>
      </w:r>
      <w:r>
        <w:rPr>
          <w:rFonts w:hint="eastAsia" w:ascii="Times New Roman" w:hAnsi="Times New Roman" w:eastAsia="仿宋_GB2312"/>
          <w:sz w:val="32"/>
          <w:szCs w:val="32"/>
        </w:rPr>
        <w:t>通过项目实施，打造了10个残疾人健身示范点，积极开展群众性体育活动、残疾人体育赛事，</w:t>
      </w:r>
      <w:r>
        <w:rPr>
          <w:rFonts w:ascii="Times New Roman" w:hAnsi="Times New Roman" w:eastAsia="仿宋_GB2312"/>
          <w:sz w:val="32"/>
          <w:szCs w:val="32"/>
        </w:rPr>
        <w:t>通过项目的实施，</w:t>
      </w:r>
      <w:r>
        <w:rPr>
          <w:rFonts w:hint="eastAsia" w:ascii="Times New Roman" w:hAnsi="Times New Roman" w:eastAsia="仿宋_GB2312"/>
          <w:sz w:val="32"/>
          <w:szCs w:val="32"/>
        </w:rPr>
        <w:t>促进了残疾人身体康复，提升了残疾人身体素质，纾解了残疾人心理压力，加强了残疾人对法律法规的了解，引导残疾人打开心扉、走出家门、融入社会。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中央和省级财政残疾人事业发展补助资金”项目绩效目标完成情况综述。年中财政通过以预算追加方式下达资金3万元（其中：政府性基金预算财政拨款2万元，一般公共预算财政拨款1万元），资金实际到位数为3万元，执行数为3万元，执行率100%。</w:t>
      </w:r>
      <w:r>
        <w:rPr>
          <w:rFonts w:hint="eastAsia" w:ascii="Times New Roman" w:hAnsi="Times New Roman" w:eastAsia="仿宋_GB2312"/>
          <w:sz w:val="32"/>
          <w:szCs w:val="32"/>
        </w:rPr>
        <w:t>通过实施“</w:t>
      </w:r>
      <w:r>
        <w:rPr>
          <w:rFonts w:ascii="Times New Roman" w:hAnsi="Times New Roman" w:eastAsia="仿宋_GB2312"/>
          <w:sz w:val="32"/>
          <w:szCs w:val="32"/>
        </w:rPr>
        <w:t>残疾人文化五个一工程</w:t>
      </w:r>
      <w:r>
        <w:rPr>
          <w:rFonts w:hint="eastAsia" w:ascii="Times New Roman" w:hAnsi="Times New Roman" w:eastAsia="仿宋_GB2312"/>
          <w:sz w:val="32"/>
          <w:szCs w:val="32"/>
        </w:rPr>
        <w:t>”，进一步</w:t>
      </w:r>
      <w:r>
        <w:rPr>
          <w:rFonts w:ascii="Times New Roman" w:hAnsi="Times New Roman" w:eastAsia="仿宋_GB2312"/>
          <w:sz w:val="32"/>
          <w:szCs w:val="32"/>
        </w:rPr>
        <w:t>强化了对残疾人群体的思想政治、社会主义文化引领、健康文化情趣引领，增强残疾人的文化自觉和自信，坚定残疾人听党话、感党恩、跟党走的信心和决心。</w:t>
      </w:r>
    </w:p>
    <w:p>
      <w:pPr>
        <w:pStyle w:val="5"/>
        <w:ind w:firstLine="640" w:firstLineChars="200"/>
        <w:rPr>
          <w:rFonts w:hint="default" w:ascii="Times New Roman" w:hAnsi="Times New Roman" w:eastAsia="仿宋_GB2312" w:cs="Times New Roman"/>
          <w:color w:val="auto"/>
          <w:sz w:val="32"/>
          <w:szCs w:val="32"/>
          <w:highlight w:val="none"/>
        </w:rPr>
      </w:pPr>
    </w:p>
    <w:p>
      <w:pPr>
        <w:widowControl/>
        <w:jc w:val="lef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br w:type="page"/>
      </w:r>
    </w:p>
    <w:p>
      <w:pPr>
        <w:numPr>
          <w:ilvl w:val="0"/>
          <w:numId w:val="4"/>
        </w:numPr>
        <w:spacing w:line="600" w:lineRule="exact"/>
        <w:ind w:firstLine="660" w:firstLineChars="150"/>
        <w:jc w:val="center"/>
        <w:outlineLvl w:val="0"/>
        <w:rPr>
          <w:rStyle w:val="28"/>
          <w:rFonts w:hint="default" w:ascii="Times New Roman" w:hAnsi="Times New Roman" w:eastAsia="黑体" w:cs="Times New Roman"/>
          <w:b w:val="0"/>
          <w:color w:val="auto"/>
          <w:highlight w:val="none"/>
        </w:rPr>
      </w:pPr>
      <w:bookmarkStart w:id="49" w:name="_Toc15396613"/>
      <w:bookmarkStart w:id="50" w:name="_Toc15377225"/>
      <w:r>
        <w:rPr>
          <w:rFonts w:hint="default" w:ascii="Times New Roman" w:hAnsi="Times New Roman" w:eastAsia="黑体" w:cs="Times New Roman"/>
          <w:color w:val="auto"/>
          <w:sz w:val="44"/>
          <w:szCs w:val="44"/>
          <w:highlight w:val="none"/>
        </w:rPr>
        <w:t>名</w:t>
      </w:r>
      <w:r>
        <w:rPr>
          <w:rStyle w:val="28"/>
          <w:rFonts w:hint="default" w:ascii="Times New Roman" w:hAnsi="Times New Roman" w:eastAsia="黑体" w:cs="Times New Roman"/>
          <w:b w:val="0"/>
          <w:color w:val="auto"/>
          <w:highlight w:val="none"/>
        </w:rPr>
        <w:t>词解释</w:t>
      </w:r>
      <w:bookmarkEnd w:id="49"/>
      <w:bookmarkEnd w:id="50"/>
    </w:p>
    <w:p>
      <w:pPr>
        <w:spacing w:line="600" w:lineRule="exact"/>
        <w:jc w:val="left"/>
        <w:rPr>
          <w:rFonts w:hint="default" w:ascii="Times New Roman" w:hAnsi="Times New Roman" w:cs="Times New Roman"/>
          <w:b/>
          <w:color w:val="auto"/>
          <w:sz w:val="44"/>
          <w:szCs w:val="44"/>
          <w:highlight w:val="none"/>
        </w:rPr>
      </w:pP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pPr>
        <w:widowControl/>
        <w:shd w:val="clear" w:color="auto" w:fill="FFFFFF"/>
        <w:spacing w:line="570" w:lineRule="exact"/>
        <w:ind w:firstLine="640" w:firstLineChars="200"/>
        <w:jc w:val="left"/>
        <w:rPr>
          <w:rFonts w:eastAsia="仿宋_GB2312"/>
          <w:bCs/>
          <w:color w:val="333333"/>
          <w:kern w:val="0"/>
          <w:sz w:val="32"/>
          <w:szCs w:val="32"/>
          <w:shd w:val="clear" w:color="auto" w:fill="FFFFFF"/>
        </w:rPr>
      </w:pPr>
      <w:r>
        <w:rPr>
          <w:rFonts w:eastAsia="仿宋_GB2312"/>
          <w:bCs/>
          <w:color w:val="333333"/>
          <w:kern w:val="0"/>
          <w:sz w:val="32"/>
          <w:szCs w:val="32"/>
          <w:shd w:val="clear" w:color="auto" w:fill="FFFFFF"/>
        </w:rPr>
        <w:t xml:space="preserve">2.社会保障和就业（208类）残疾人事业（20811款）行政运行（2081101项）：指行政单位（包括实行公务员管理的事业单位）的基本支出。 </w:t>
      </w:r>
      <w:r>
        <w:rPr>
          <w:rFonts w:eastAsia="仿宋_GB2312"/>
          <w:bCs/>
          <w:color w:val="333333"/>
          <w:kern w:val="0"/>
          <w:sz w:val="32"/>
          <w:szCs w:val="32"/>
          <w:shd w:val="clear" w:color="auto" w:fill="FFFFFF"/>
        </w:rPr>
        <w:br w:type="textWrapping"/>
      </w:r>
      <w:r>
        <w:rPr>
          <w:rFonts w:eastAsia="仿宋_GB2312"/>
          <w:bCs/>
          <w:color w:val="333333"/>
          <w:kern w:val="0"/>
          <w:sz w:val="32"/>
          <w:szCs w:val="32"/>
          <w:shd w:val="clear" w:color="auto" w:fill="FFFFFF"/>
        </w:rPr>
        <w:t xml:space="preserve">　　3.社会保障和就业（208类）残疾人事业（20811款）一般行政管事事务（2081102项）：指行政单位（包括实行公务员管理的事业单位）未单独设置项级科目的其他项目支出。 </w:t>
      </w:r>
    </w:p>
    <w:p>
      <w:pPr>
        <w:widowControl/>
        <w:shd w:val="clear" w:color="auto" w:fill="FFFFFF"/>
        <w:spacing w:line="570" w:lineRule="exact"/>
        <w:ind w:firstLine="640" w:firstLineChars="200"/>
        <w:jc w:val="left"/>
        <w:rPr>
          <w:rFonts w:eastAsia="仿宋_GB2312"/>
          <w:bCs/>
          <w:color w:val="333333"/>
          <w:kern w:val="0"/>
          <w:sz w:val="32"/>
          <w:szCs w:val="32"/>
          <w:shd w:val="clear" w:color="auto" w:fill="FFFFFF"/>
        </w:rPr>
      </w:pPr>
      <w:r>
        <w:rPr>
          <w:rFonts w:eastAsia="仿宋_GB2312"/>
          <w:bCs/>
          <w:color w:val="333333"/>
          <w:kern w:val="0"/>
          <w:sz w:val="32"/>
          <w:szCs w:val="32"/>
          <w:shd w:val="clear" w:color="auto" w:fill="FFFFFF"/>
        </w:rPr>
        <w:t>4.社会保障和就业（208类）残疾人事业（20811款）残疾人康复（2081104项）：指残疾人联合会用于残疾人康复方面的支出。</w:t>
      </w:r>
    </w:p>
    <w:p>
      <w:pPr>
        <w:pStyle w:val="26"/>
        <w:spacing w:line="570" w:lineRule="exact"/>
        <w:ind w:firstLine="640" w:firstLineChars="200"/>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5.社会保障和就业（208类）残疾人事业（20811款）残疾人就业和扶贫（2081105项）：指残疾人联合会用于残疾人就业和扶贫等方面的支出。</w:t>
      </w:r>
      <w:r>
        <w:rPr>
          <w:rFonts w:ascii="Times New Roman" w:hAnsi="Times New Roman" w:eastAsia="仿宋_GB2312" w:cs="Times New Roman"/>
          <w:bCs/>
          <w:color w:val="333333"/>
          <w:sz w:val="32"/>
          <w:szCs w:val="32"/>
          <w:shd w:val="clear" w:color="auto" w:fill="FFFFFF"/>
        </w:rPr>
        <w:br w:type="textWrapping"/>
      </w:r>
      <w:r>
        <w:rPr>
          <w:rFonts w:hint="eastAsia" w:ascii="Times New Roman" w:hAnsi="Times New Roman" w:eastAsia="仿宋_GB2312" w:cs="Times New Roman"/>
          <w:bCs/>
          <w:color w:val="333333"/>
          <w:sz w:val="32"/>
          <w:szCs w:val="32"/>
          <w:shd w:val="clear" w:color="auto" w:fill="FFFFFF"/>
          <w:lang w:val="en-US" w:eastAsia="zh-CN"/>
        </w:rPr>
        <w:t xml:space="preserve">    </w:t>
      </w:r>
      <w:r>
        <w:rPr>
          <w:rFonts w:ascii="Times New Roman" w:hAnsi="Times New Roman" w:eastAsia="仿宋_GB2312" w:cs="Times New Roman"/>
          <w:bCs/>
          <w:color w:val="333333"/>
          <w:sz w:val="32"/>
          <w:szCs w:val="32"/>
          <w:shd w:val="clear" w:color="auto" w:fill="FFFFFF"/>
        </w:rPr>
        <w:t>6.社会保障和就业（208类）残疾人事业（20811款）残疾人生活和护理补贴（2081107项）：指困难残疾人生活补贴和重度残疾人护理补贴支出。</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xml:space="preserve">　　7.社会保障和就业（208类）残疾人事业（20811款）其他残疾人事业支出（2081199项）：指除上述项目以外其他用于残疾人事业方面的支出。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xml:space="preserve">　　8.社会保障和就业（208类）行政事业单位离退休（20805款）未归口管理的行政单位离退休（2080504项）：指未实行归口管理的行政单位（包括实行公务员管理的事业单位）开支的离退休支出。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xml:space="preserve">　　9.社会保障和就业（208类）行政事业单位离退休（20805款）机关事业单位基本养老保险缴费支出（2080505项）：指部门实施养老保险制度由单位缴纳的基本养老保险费支出。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10.</w:t>
      </w:r>
      <w:r>
        <w:rPr>
          <w:rFonts w:hint="eastAsia" w:ascii="Times New Roman" w:hAnsi="Times New Roman" w:eastAsia="仿宋_GB2312" w:cs="Times New Roman"/>
          <w:bCs/>
          <w:color w:val="333333"/>
          <w:sz w:val="32"/>
          <w:szCs w:val="32"/>
          <w:shd w:val="clear" w:color="auto" w:fill="FFFFFF"/>
        </w:rPr>
        <w:t>卫生健康支出</w:t>
      </w:r>
      <w:r>
        <w:rPr>
          <w:rFonts w:ascii="Times New Roman" w:hAnsi="Times New Roman" w:eastAsia="仿宋_GB2312" w:cs="Times New Roman"/>
          <w:bCs/>
          <w:color w:val="333333"/>
          <w:sz w:val="32"/>
          <w:szCs w:val="32"/>
          <w:shd w:val="clear" w:color="auto" w:fill="FFFFFF"/>
        </w:rPr>
        <w:t xml:space="preserve">（210类）行政事业单位医疗（21011款）行政单位医疗（2101101项）：指财政部门集中安排的行政单位基本医疗保险缴费经费，未参加医疗保险的行政单位的公费医疗经费，按国家规定享受离休人员、红军老战士待遇人员的医疗经费。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11.</w:t>
      </w:r>
      <w:r>
        <w:rPr>
          <w:rFonts w:hint="eastAsia" w:ascii="Times New Roman" w:hAnsi="Times New Roman" w:eastAsia="仿宋_GB2312" w:cs="Times New Roman"/>
          <w:bCs/>
          <w:color w:val="333333"/>
          <w:sz w:val="32"/>
          <w:szCs w:val="32"/>
          <w:shd w:val="clear" w:color="auto" w:fill="FFFFFF"/>
        </w:rPr>
        <w:t>卫生健康支出</w:t>
      </w:r>
      <w:r>
        <w:rPr>
          <w:rFonts w:ascii="Times New Roman" w:hAnsi="Times New Roman" w:eastAsia="仿宋_GB2312" w:cs="Times New Roman"/>
          <w:bCs/>
          <w:color w:val="333333"/>
          <w:sz w:val="32"/>
          <w:szCs w:val="32"/>
          <w:shd w:val="clear" w:color="auto" w:fill="FFFFFF"/>
        </w:rPr>
        <w:t xml:space="preserve">（210类）行政事业单位医疗（21011款）公务员医疗补助（2101103项）：指财政部门集中安排的公务员医疗补助经费。 </w:t>
      </w:r>
    </w:p>
    <w:p>
      <w:pPr>
        <w:pStyle w:val="26"/>
        <w:spacing w:line="570" w:lineRule="exact"/>
        <w:ind w:firstLine="640" w:firstLineChars="200"/>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1</w:t>
      </w:r>
      <w:r>
        <w:rPr>
          <w:rFonts w:hint="eastAsia" w:ascii="Times New Roman" w:hAnsi="Times New Roman" w:eastAsia="仿宋_GB2312" w:cs="Times New Roman"/>
          <w:bCs/>
          <w:color w:val="333333"/>
          <w:sz w:val="32"/>
          <w:szCs w:val="32"/>
          <w:shd w:val="clear" w:color="auto" w:fill="FFFFFF"/>
          <w:lang w:val="en-US" w:eastAsia="zh-CN"/>
        </w:rPr>
        <w:t>2</w:t>
      </w:r>
      <w:r>
        <w:rPr>
          <w:rFonts w:ascii="Times New Roman" w:hAnsi="Times New Roman" w:eastAsia="仿宋_GB2312" w:cs="Times New Roman"/>
          <w:bCs/>
          <w:color w:val="333333"/>
          <w:sz w:val="32"/>
          <w:szCs w:val="32"/>
          <w:shd w:val="clear" w:color="auto" w:fill="FFFFFF"/>
        </w:rPr>
        <w:t>.</w:t>
      </w:r>
      <w:r>
        <w:rPr>
          <w:rFonts w:hint="eastAsia" w:ascii="Times New Roman" w:hAnsi="Times New Roman" w:eastAsia="仿宋_GB2312" w:cs="Times New Roman"/>
          <w:bCs/>
          <w:color w:val="333333"/>
          <w:sz w:val="32"/>
          <w:szCs w:val="32"/>
          <w:shd w:val="clear" w:color="auto" w:fill="FFFFFF"/>
        </w:rPr>
        <w:t>卫生健康支出</w:t>
      </w:r>
      <w:r>
        <w:rPr>
          <w:rFonts w:ascii="Times New Roman" w:hAnsi="Times New Roman" w:eastAsia="仿宋_GB2312" w:cs="Times New Roman"/>
          <w:bCs/>
          <w:color w:val="333333"/>
          <w:sz w:val="32"/>
          <w:szCs w:val="32"/>
          <w:shd w:val="clear" w:color="auto" w:fill="FFFFFF"/>
        </w:rPr>
        <w:t>（210类）行政事业单位医疗（21011款）</w:t>
      </w:r>
      <w:r>
        <w:rPr>
          <w:rFonts w:hint="eastAsia" w:ascii="Times New Roman" w:hAnsi="Times New Roman" w:eastAsia="仿宋_GB2312" w:cs="Times New Roman"/>
          <w:bCs/>
          <w:color w:val="333333"/>
          <w:sz w:val="32"/>
          <w:szCs w:val="32"/>
          <w:shd w:val="clear" w:color="auto" w:fill="FFFFFF"/>
        </w:rPr>
        <w:t>其他行政事业单位医疗支出</w:t>
      </w:r>
      <w:r>
        <w:rPr>
          <w:rFonts w:ascii="Times New Roman" w:hAnsi="Times New Roman" w:eastAsia="仿宋_GB2312" w:cs="Times New Roman"/>
          <w:bCs/>
          <w:color w:val="333333"/>
          <w:sz w:val="32"/>
          <w:szCs w:val="32"/>
          <w:shd w:val="clear" w:color="auto" w:fill="FFFFFF"/>
        </w:rPr>
        <w:t>（21011</w:t>
      </w:r>
      <w:r>
        <w:rPr>
          <w:rFonts w:hint="eastAsia" w:ascii="Times New Roman" w:hAnsi="Times New Roman" w:eastAsia="仿宋_GB2312" w:cs="Times New Roman"/>
          <w:bCs/>
          <w:color w:val="333333"/>
          <w:sz w:val="32"/>
          <w:szCs w:val="32"/>
          <w:shd w:val="clear" w:color="auto" w:fill="FFFFFF"/>
          <w:lang w:val="en-US" w:eastAsia="zh-CN"/>
        </w:rPr>
        <w:t>99</w:t>
      </w:r>
      <w:r>
        <w:rPr>
          <w:rFonts w:ascii="Times New Roman" w:hAnsi="Times New Roman" w:eastAsia="仿宋_GB2312" w:cs="Times New Roman"/>
          <w:bCs/>
          <w:color w:val="333333"/>
          <w:sz w:val="32"/>
          <w:szCs w:val="32"/>
          <w:shd w:val="clear" w:color="auto" w:fill="FFFFFF"/>
        </w:rPr>
        <w:t>项）：指财政部门集中安排的</w:t>
      </w:r>
      <w:r>
        <w:rPr>
          <w:rFonts w:hint="eastAsia" w:ascii="Times New Roman" w:hAnsi="Times New Roman" w:eastAsia="仿宋_GB2312" w:cs="Times New Roman"/>
          <w:bCs/>
          <w:color w:val="333333"/>
          <w:sz w:val="32"/>
          <w:szCs w:val="32"/>
          <w:shd w:val="clear" w:color="auto" w:fill="FFFFFF"/>
          <w:lang w:eastAsia="zh-CN"/>
        </w:rPr>
        <w:t>其他行政事业单位医疗补助</w:t>
      </w:r>
      <w:r>
        <w:rPr>
          <w:rFonts w:ascii="Times New Roman" w:hAnsi="Times New Roman" w:eastAsia="仿宋_GB2312" w:cs="Times New Roman"/>
          <w:bCs/>
          <w:color w:val="333333"/>
          <w:sz w:val="32"/>
          <w:szCs w:val="32"/>
          <w:shd w:val="clear" w:color="auto" w:fill="FFFFFF"/>
        </w:rPr>
        <w:t xml:space="preserve">经费。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w:t>
      </w:r>
      <w:r>
        <w:rPr>
          <w:rFonts w:hint="eastAsia" w:ascii="Times New Roman" w:hAnsi="Times New Roman" w:eastAsia="仿宋_GB2312" w:cs="Times New Roman"/>
          <w:bCs/>
          <w:color w:val="333333"/>
          <w:sz w:val="32"/>
          <w:szCs w:val="32"/>
          <w:shd w:val="clear" w:color="auto" w:fill="FFFFFF"/>
          <w:lang w:val="en-US" w:eastAsia="zh-CN"/>
        </w:rPr>
        <w:t>3</w:t>
      </w:r>
      <w:r>
        <w:rPr>
          <w:rFonts w:ascii="Times New Roman" w:hAnsi="Times New Roman" w:eastAsia="仿宋_GB2312" w:cs="Times New Roman"/>
          <w:bCs/>
          <w:color w:val="333333"/>
          <w:sz w:val="32"/>
          <w:szCs w:val="32"/>
          <w:shd w:val="clear" w:color="auto" w:fill="FFFFFF"/>
        </w:rPr>
        <w:t xml:space="preserve">.住房保障支出（221类）住房改革支出（22102款）住房公积金（2210201项）：指行政事业单位按照《住房公积金管理条例》的规定为职工缴纳的住房公积金。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w:t>
      </w:r>
      <w:r>
        <w:rPr>
          <w:rFonts w:hint="eastAsia" w:ascii="Times New Roman" w:hAnsi="Times New Roman" w:eastAsia="仿宋_GB2312" w:cs="Times New Roman"/>
          <w:bCs/>
          <w:color w:val="333333"/>
          <w:sz w:val="32"/>
          <w:szCs w:val="32"/>
          <w:shd w:val="clear" w:color="auto" w:fill="FFFFFF"/>
          <w:lang w:val="en-US" w:eastAsia="zh-CN"/>
        </w:rPr>
        <w:t>4</w:t>
      </w:r>
      <w:r>
        <w:rPr>
          <w:rFonts w:ascii="Times New Roman" w:hAnsi="Times New Roman" w:eastAsia="仿宋_GB2312" w:cs="Times New Roman"/>
          <w:bCs/>
          <w:color w:val="333333"/>
          <w:sz w:val="32"/>
          <w:szCs w:val="32"/>
          <w:shd w:val="clear" w:color="auto" w:fill="FFFFFF"/>
        </w:rPr>
        <w:t>.住房保障支出（221类）住房改革支出（22102款）购房补贴（2210203项）：指按房改政策规定，行政事业单位向符合条件职工（含离退休人员）、军队（含武警）向转役复员离退休人员发放的用于购买住房的补贴。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w:t>
      </w:r>
      <w:r>
        <w:rPr>
          <w:rFonts w:hint="eastAsia" w:ascii="Times New Roman" w:hAnsi="Times New Roman" w:eastAsia="仿宋_GB2312" w:cs="Times New Roman"/>
          <w:bCs/>
          <w:color w:val="333333"/>
          <w:sz w:val="32"/>
          <w:szCs w:val="32"/>
          <w:shd w:val="clear" w:color="auto" w:fill="FFFFFF"/>
          <w:lang w:val="en-US" w:eastAsia="zh-CN"/>
        </w:rPr>
        <w:t>5</w:t>
      </w:r>
      <w:r>
        <w:rPr>
          <w:rFonts w:ascii="Times New Roman" w:hAnsi="Times New Roman" w:eastAsia="仿宋_GB2312" w:cs="Times New Roman"/>
          <w:bCs/>
          <w:color w:val="333333"/>
          <w:sz w:val="32"/>
          <w:szCs w:val="32"/>
          <w:shd w:val="clear" w:color="auto" w:fill="FFFFFF"/>
        </w:rPr>
        <w:t xml:space="preserve">.基本支出：指为保证机构正常运转，完成日常工作任务而发生的人员支出和公用支出。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w:t>
      </w:r>
      <w:r>
        <w:rPr>
          <w:rFonts w:hint="eastAsia" w:ascii="Times New Roman" w:hAnsi="Times New Roman" w:eastAsia="仿宋_GB2312" w:cs="Times New Roman"/>
          <w:bCs/>
          <w:color w:val="333333"/>
          <w:sz w:val="32"/>
          <w:szCs w:val="32"/>
          <w:shd w:val="clear" w:color="auto" w:fill="FFFFFF"/>
          <w:lang w:val="en-US" w:eastAsia="zh-CN"/>
        </w:rPr>
        <w:t>6</w:t>
      </w:r>
      <w:r>
        <w:rPr>
          <w:rFonts w:ascii="Times New Roman" w:hAnsi="Times New Roman" w:eastAsia="仿宋_GB2312" w:cs="Times New Roman"/>
          <w:bCs/>
          <w:color w:val="333333"/>
          <w:sz w:val="32"/>
          <w:szCs w:val="32"/>
          <w:shd w:val="clear" w:color="auto" w:fill="FFFFFF"/>
        </w:rPr>
        <w:t xml:space="preserve">.项目支出：指在基本支出之外为完成特定行政任务和事业发展目标所发生的支出。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w:t>
      </w:r>
      <w:r>
        <w:rPr>
          <w:rFonts w:hint="eastAsia" w:ascii="Times New Roman" w:hAnsi="Times New Roman" w:eastAsia="仿宋_GB2312" w:cs="Times New Roman"/>
          <w:bCs/>
          <w:color w:val="333333"/>
          <w:sz w:val="32"/>
          <w:szCs w:val="32"/>
          <w:shd w:val="clear" w:color="auto" w:fill="FFFFFF"/>
          <w:lang w:val="en-US" w:eastAsia="zh-CN"/>
        </w:rPr>
        <w:t>7</w:t>
      </w:r>
      <w:r>
        <w:rPr>
          <w:rFonts w:ascii="Times New Roman" w:hAnsi="Times New Roman" w:eastAsia="仿宋_GB2312" w:cs="Times New Roman"/>
          <w:bCs/>
          <w:color w:val="333333"/>
          <w:sz w:val="32"/>
          <w:szCs w:val="32"/>
          <w:shd w:val="clear" w:color="auto" w:fill="FFFFFF"/>
        </w:rPr>
        <w:t xml:space="preserve">.经营支出：指事业单位在专业业务活动及其辅助活动之外开展非独立核算经营活动发生的支出。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w:t>
      </w:r>
      <w:r>
        <w:rPr>
          <w:rFonts w:hint="eastAsia" w:ascii="Times New Roman" w:hAnsi="Times New Roman" w:eastAsia="仿宋_GB2312" w:cs="Times New Roman"/>
          <w:bCs/>
          <w:color w:val="333333"/>
          <w:sz w:val="32"/>
          <w:szCs w:val="32"/>
          <w:shd w:val="clear" w:color="auto" w:fill="FFFFFF"/>
          <w:lang w:val="en-US" w:eastAsia="zh-CN"/>
        </w:rPr>
        <w:t>8</w:t>
      </w:r>
      <w:r>
        <w:rPr>
          <w:rFonts w:ascii="Times New Roman" w:hAnsi="Times New Roman" w:eastAsia="仿宋_GB2312" w:cs="Times New Roman"/>
          <w:bCs/>
          <w:color w:val="333333"/>
          <w:sz w:val="32"/>
          <w:szCs w:val="32"/>
          <w:shd w:val="clear" w:color="auto" w:fill="FFFFFF"/>
        </w:rPr>
        <w:t xml:space="preserve">.“三公”经费：纳入市级财政预决算管理的“三公”经费，是指部门用财政拨款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租用费、燃料费、维修费、过路过桥费、保险费、安全奖励费用等支出；公务接待费指单位按规定开支的各类公务接待（含外宾接待）支出。 </w:t>
      </w:r>
      <w:r>
        <w:rPr>
          <w:rFonts w:ascii="Times New Roman" w:hAnsi="Times New Roman" w:eastAsia="仿宋_GB2312" w:cs="Times New Roman"/>
          <w:bCs/>
          <w:color w:val="333333"/>
          <w:sz w:val="32"/>
          <w:szCs w:val="32"/>
          <w:shd w:val="clear" w:color="auto" w:fill="FFFFFF"/>
        </w:rPr>
        <w:br w:type="textWrapping"/>
      </w:r>
      <w:r>
        <w:rPr>
          <w:rFonts w:ascii="Times New Roman" w:hAnsi="Times New Roman" w:eastAsia="仿宋_GB2312" w:cs="Times New Roman"/>
          <w:bCs/>
          <w:color w:val="333333"/>
          <w:sz w:val="32"/>
          <w:szCs w:val="32"/>
          <w:shd w:val="clear" w:color="auto" w:fill="FFFFFF"/>
        </w:rPr>
        <w:t>　　1</w:t>
      </w:r>
      <w:r>
        <w:rPr>
          <w:rFonts w:hint="eastAsia" w:ascii="Times New Roman" w:hAnsi="Times New Roman" w:eastAsia="仿宋_GB2312" w:cs="Times New Roman"/>
          <w:bCs/>
          <w:color w:val="333333"/>
          <w:sz w:val="32"/>
          <w:szCs w:val="32"/>
          <w:shd w:val="clear" w:color="auto" w:fill="FFFFFF"/>
          <w:lang w:val="en-US" w:eastAsia="zh-CN"/>
        </w:rPr>
        <w:t>9</w:t>
      </w:r>
      <w:r>
        <w:rPr>
          <w:rFonts w:ascii="Times New Roman" w:hAnsi="Times New Roman" w:eastAsia="仿宋_GB2312" w:cs="Times New Roman"/>
          <w:bCs/>
          <w:color w:val="333333"/>
          <w:sz w:val="32"/>
          <w:szCs w:val="32"/>
          <w:shd w:val="clear" w:color="auto" w:fill="FFFFFF"/>
        </w:rPr>
        <w:t>.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default" w:ascii="Times New Roman" w:hAnsi="Times New Roman" w:eastAsia="黑体" w:cs="Times New Roman"/>
          <w:color w:val="auto"/>
          <w:sz w:val="44"/>
          <w:szCs w:val="44"/>
          <w:highlight w:val="none"/>
        </w:rPr>
        <w:sectPr>
          <w:footerReference r:id="rId5" w:type="first"/>
          <w:footerReference r:id="rId4" w:type="default"/>
          <w:pgSz w:w="11906" w:h="16838"/>
          <w:pgMar w:top="2098" w:right="1474" w:bottom="1984" w:left="1587" w:header="851" w:footer="992" w:gutter="0"/>
          <w:pgNumType w:start="1"/>
          <w:cols w:space="425" w:num="1"/>
          <w:docGrid w:type="lines" w:linePitch="312" w:charSpace="0"/>
        </w:sectPr>
      </w:pPr>
      <w:bookmarkStart w:id="51" w:name="_Toc15396614"/>
      <w:bookmarkStart w:id="52" w:name="_Toc15377226"/>
    </w:p>
    <w:p>
      <w:pPr>
        <w:spacing w:line="600" w:lineRule="exact"/>
        <w:jc w:val="center"/>
        <w:outlineLvl w:val="0"/>
        <w:rPr>
          <w:rStyle w:val="28"/>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四部分 附件</w:t>
      </w:r>
      <w:bookmarkEnd w:id="51"/>
    </w:p>
    <w:p>
      <w:pPr>
        <w:spacing w:line="600" w:lineRule="exact"/>
        <w:jc w:val="center"/>
        <w:outlineLvl w:val="0"/>
        <w:rPr>
          <w:rStyle w:val="28"/>
          <w:rFonts w:hint="eastAsia" w:ascii="方正小标宋简体" w:hAnsi="方正小标宋简体" w:eastAsia="方正小标宋简体" w:cs="方正小标宋简体"/>
          <w:b w:val="0"/>
          <w:color w:val="auto"/>
          <w:sz w:val="36"/>
          <w:szCs w:val="36"/>
          <w:highlight w:val="none"/>
        </w:rPr>
      </w:pPr>
      <w:r>
        <w:rPr>
          <w:rStyle w:val="28"/>
          <w:rFonts w:hint="eastAsia" w:ascii="方正小标宋简体" w:hAnsi="方正小标宋简体" w:eastAsia="方正小标宋简体" w:cs="方正小标宋简体"/>
          <w:b w:val="0"/>
          <w:color w:val="auto"/>
          <w:sz w:val="36"/>
          <w:szCs w:val="36"/>
          <w:highlight w:val="none"/>
        </w:rPr>
        <w:t>部门预算项目支出绩效自评表（2022年度）</w:t>
      </w:r>
    </w:p>
    <w:tbl>
      <w:tblPr>
        <w:tblStyle w:val="16"/>
        <w:tblW w:w="10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418"/>
        <w:gridCol w:w="1035"/>
        <w:gridCol w:w="1746"/>
        <w:gridCol w:w="668"/>
        <w:gridCol w:w="695"/>
        <w:gridCol w:w="696"/>
        <w:gridCol w:w="820"/>
        <w:gridCol w:w="486"/>
        <w:gridCol w:w="637"/>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bookmarkStart w:id="53" w:name="_Toc15396618"/>
            <w:r>
              <w:rPr>
                <w:rFonts w:ascii="宋体" w:hAnsi="宋体" w:eastAsia="宋体" w:cs="宋体"/>
                <w:i w:val="0"/>
                <w:iCs w:val="0"/>
                <w:color w:val="000000"/>
                <w:kern w:val="0"/>
                <w:sz w:val="18"/>
                <w:szCs w:val="18"/>
                <w:u w:val="none"/>
                <w:lang w:val="en-US" w:eastAsia="zh-CN" w:bidi="ar"/>
              </w:rPr>
              <w:t>项目名称</w:t>
            </w:r>
          </w:p>
        </w:tc>
        <w:tc>
          <w:tcPr>
            <w:tcW w:w="86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51050021T000000040505-圆梦助学工程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体现党领导下的社会主义制度优越性，鼓励残疾人自立、自强、自信，提高残疾人及家庭科学文化素质，让残疾人共享社会经济发展成果，增强残疾人获得感、幸福感、安全感。根据《泸州市残疾人“圆梦助学工程”实施方案》（泸市残〔2018〕145号）文件精神，2022年拟向全市750名残疾人大学新生和残疾人大学子女新生发放助学金。</w:t>
            </w:r>
          </w:p>
        </w:tc>
        <w:tc>
          <w:tcPr>
            <w:tcW w:w="38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和帮助解决我市2022年残疾大学新生和残疾人家庭子女大学新生上学难的问题，让当年750名参加全国普通高考考上大学的残疾大学新生和残疾人子女大新学生每人得到3000元-5000元的资助，减轻残疾人家庭负担，共享经济社会发展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有泸州市户籍，被大专以上院校录取的城乡家庭残疾人新生和残疾人子女新生到到户籍所在地乡镇（街道）残联提出申请，乡镇（街道）残联并接收相应材料。经初审后将相关资料上报到所在县（区）残联，经县（区）残联、财政局初审公示签字盖公章后，汇总上报到市残联，经核实无误，由市残联和市财政局按程序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382.50</w:t>
            </w:r>
          </w:p>
        </w:tc>
        <w:tc>
          <w:tcPr>
            <w:tcW w:w="2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当年预算数是以上年执行数为基数进行预算的，随着残疾人受教育水平的不断增长，每年考上的人数增长较大，据实进行年中预算调整。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382.50</w:t>
            </w:r>
          </w:p>
        </w:tc>
        <w:tc>
          <w:tcPr>
            <w:tcW w:w="2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382.50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补助残疾大学新生和残疾人子女大学新生人数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931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补助大学生发放到位及准确率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残疾人家庭经济支出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残疾人事业与经济社会协调发展</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接受“圆梦助学"残疾人家庭的满意度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77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泸州市残疾人“圆梦助学工程”的实施，推动和帮助解决了我市残疾大学生和残疾人家庭子女大学生上学难的问题，减轻了残疾人家庭负担；同时加快了教育事业的发展，推进教育公平，增进残疾人家庭福祉，让残疾人共享经济社会的发展成果，促进社会和谐，产生了良好的社会效益，让残疾人家庭感受到了政府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近年来，教育水平的提高和高考形式发生的变化，有很多是单独招生、对口高职，还有一部分是专升本、本升硕等，考上大学的残疾人和残疾人子女数量突飞猛进，导致年初预算超支，年中进行了预算调整。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前督促区县残联彻底调查清楚属地就读的高三残疾人和残疾人子女人数，为预算提供精准数据。积极对接市招办，当年考上大学的泸州籍残疾人和残疾人子女需在市招办系统进行比对，为精准实施“圆梦助学”项目提供双重保障。加大政策宣传力度。充分利用报刊、电视、广播、网络等媒体，全方位、多角度地进行宣传，让学生和家长及时、全面的了解助学金的相关政策及实施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5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项目负责人：陈云</w:t>
            </w:r>
          </w:p>
        </w:tc>
        <w:tc>
          <w:tcPr>
            <w:tcW w:w="52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1348"/>
        <w:gridCol w:w="1036"/>
        <w:gridCol w:w="1732"/>
        <w:gridCol w:w="627"/>
        <w:gridCol w:w="696"/>
        <w:gridCol w:w="800"/>
        <w:gridCol w:w="756"/>
        <w:gridCol w:w="486"/>
        <w:gridCol w:w="595"/>
        <w:gridCol w:w="1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0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51050021T000000061451-残疾人康复救助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了体现党领导下的社会主义制度优越性，切实减轻残疾人家庭经济负担，促进全市残疾人康复机构服务水平提升，让残疾人共享社会经济发展成果，增强残疾人获得感、幸福感、安全感。向300名残疾人儿童少年发放交通生活补助；向实施人工耳蜗手术的残疾儿童少年提供术前筛查检查补助；邀请第三方机构对全市20家定点康复机构进行评估。</w:t>
            </w:r>
          </w:p>
        </w:tc>
        <w:tc>
          <w:tcPr>
            <w:tcW w:w="3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已向682人次残疾人儿童少年发放交通生活补助；已向11名实施人工耳蜗手术的残疾儿童少年提供术前筛查检查补助；已邀请第三方机构对全市24家定点康复机构进行评估。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2"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儿童康复对象交通生活补助项目实施严格按《关于实施残疾儿童少年康复对象交通生活费补助的通知》的程序进行，收集申报资料，及时将补贴发放给受助对象并按“量服”要求及时录入“量服”平台，项目审核完成后，市残联通过“一卡通”直接将补助资金发放到收益对象，并收集打款成功清单进行了存档；听力残疾儿童人工耳蜗术前医学评估初筛项目的实施先由接受评估的对象在市残联康教科开具介绍信，后在定点手术医院（西南医科大学附属医院）开展医学评估初筛检查，12月底西南医科大学出具全年检查明细和发票，经市残联审核报经党组同意后支付人工耳蜗术前筛查费；残疾儿童康复训练定点机构服务情况绩效评价项目的实施通过公开比选方式请第三方机构对全市24家残疾儿童康复训练定点机构开展了年服务情况绩效评价，督促机构对自身不足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新型冠状病毒肺炎疫情影响，残疾儿童少年康复对象在机构集中康复训练时间减少，导致补助资金使用减少；人工耳蜗术前筛查评估符合条件的新发现对象属于临时性需求，无法提前预估，导致完成率较低，因此年中我们进行了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监管康复训练机构数量</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交通生活补助人数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682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人工耳蜗术前筛查人数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由于原因为符合条件的新发现对象属于临时性需求，无法提前预估，导致完成率较低。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交通生活补助发放到位率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每名残疾儿童人工耳蜗筛查费用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每名残疾儿童实施手术补贴资金</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每名残疾儿童康复训练补贴资金</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残疾人家庭经济支出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优良中低差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优良中低差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残疾人事业与经济社会协调发展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优良中低差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来信来访</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残疾儿童或家属对基本康复服务的满意度</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2022年实施残疾人康复救助项目，三区康复对象交通补贴受益残疾儿童少年达682人次，11名聋儿接受人工耳蜗术前筛查，24家定点康复机构接受了绩效评价，家庭医生签约助残项目可行性评估，推动和帮助解决了我市残疾儿童少年康复交通生活和聋儿人工耳蜗术前筛查困难的问题，减轻了残疾人家庭负担，残疾人家庭和社会满意率都达到100%。同时加快了残疾人康复服务规范有序的发展，提高了残疾人康复服务水平，提升残疾人基本公共服务质量，让残疾人共享经济社会的发展成果，促进社会和谐，产生了良好的社会效益，让残疾人家庭感受到党和政府的关怀及社会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受新型冠状病毒肺炎疫情影响，残疾儿童少年康复对象在机构集中康复训练时间减少，未产生往返费用，为此导致补助资金使用减少；人工术前筛查评估完成率达预期指标数的73.33%，原因为符合条件的新发现对象属于临时性需求，无法提前预估，导致完成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精准摸清接受康复训练的人数，分析尽量减小目标的偏离值，积极对未救助调研对象进行原因分析并提出应对的措施建议，及时解决出现的问题。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5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项目负责人：林玲</w:t>
            </w:r>
          </w:p>
        </w:tc>
        <w:tc>
          <w:tcPr>
            <w:tcW w:w="53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31"/>
        <w:gridCol w:w="981"/>
        <w:gridCol w:w="1760"/>
        <w:gridCol w:w="730"/>
        <w:gridCol w:w="647"/>
        <w:gridCol w:w="627"/>
        <w:gridCol w:w="764"/>
        <w:gridCol w:w="557"/>
        <w:gridCol w:w="627"/>
        <w:gridCol w:w="1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0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51050021T000000061508-残疾人组织建设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6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目标1：通过开展丰富多样的活动，提高各类别残疾人平等享有社会公共服务；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目标2：为各类别残疾人专门协会提供资金支持，发挥“代表、服务、维权、监督”职能，反映各类残疾人的意见和需求，构建残联和残疾人的有效桥梁；</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目标3：把党和政府的温暖、关怀通过各类节日送到残疾人身边，引领残疾人感党恩、听党话、跟党走；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目标4：通过资金支持加强和改进村（社区）残协工作，增强基层组织力量，打通联系和服务残疾人的“最后一公里”。</w:t>
            </w:r>
          </w:p>
        </w:tc>
        <w:tc>
          <w:tcPr>
            <w:tcW w:w="37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各残疾人专门协会和社会助残组织开展各类别残疾人活动，让残疾人走出家门，充分活跃残疾人文化生活。为3个省级试点和10个市级试点给予资金支持，打造全市村（社区）残协建设模板。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59.00</w:t>
            </w:r>
          </w:p>
        </w:tc>
        <w:tc>
          <w:tcPr>
            <w:tcW w:w="2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77.26%</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其中预算20万元用于市残联第八次代表大会，因疫情原因推迟到2023年1月召开。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59.00</w:t>
            </w:r>
          </w:p>
        </w:tc>
        <w:tc>
          <w:tcPr>
            <w:tcW w:w="2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77.26%</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资金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社会助残组织活动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专门协会组织活动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村（社区）残协省级示范点</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村（社区）残协市级示范点</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活动参与率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村（社区）残协省级示范点</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村（社区）残协市级示范点</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活跃残疾人文化生活</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提升残疾人享有公共文化服务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推动残疾人事业发展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建立残联与残疾人的桥梁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参与者满意度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残疾人专门协会和社会助残组织开展的每场活动目的达到预期理想，活跃残疾人文化生活，让残疾人充分享受社会文明成果以及让残疾人与残联紧密连接，参与率和社会满意率也在逐渐提高。支持省、市级村（社区）残协示范建设，为全市1486个村（社区）提供有效样板，打通联系和服务残疾人的“最后一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主要因为新冠疫情防控要求，不嫩大量聚集人群，开展活动的规模不大。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继续深入联动基层残疾人专门协会和社会助残组织，开展形式多样的残疾人活动。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项目负责人：杜卓越</w:t>
            </w:r>
          </w:p>
        </w:tc>
        <w:tc>
          <w:tcPr>
            <w:tcW w:w="5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1732"/>
        <w:gridCol w:w="1020"/>
        <w:gridCol w:w="1705"/>
        <w:gridCol w:w="722"/>
        <w:gridCol w:w="819"/>
        <w:gridCol w:w="668"/>
        <w:gridCol w:w="777"/>
        <w:gridCol w:w="614"/>
        <w:gridCol w:w="654"/>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0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51050021T000000061510-残疾人维权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7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目标1：组织慰问残疾人，帮助困难残疾人温暖过冬、欢乐过年，将党和政府的温暖送到残疾人手中;目标2：帮助发生特别困难的残疾人摆脱临时困境。</w:t>
            </w:r>
          </w:p>
        </w:tc>
        <w:tc>
          <w:tcPr>
            <w:tcW w:w="3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投入资金60万元开展“温暖万家行”，走访慰问1213名困难、优秀残疾人;</w:t>
            </w:r>
            <w:r>
              <w:rPr>
                <w:rFonts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为155名残疾人发放紧急救助金共83.99万元。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发《泸州市残疾人联合会2022年度“温暖万家行”走访慰问活动方案的通知》（泸市残〔2022〕5号）文件，投入资金60万元开展“温暖万家行”，走访慰问1213名困难、优秀残疾人；为155名残疾人发放紧急救助金共83.99万元，帮助残疾人在遭遇生活困境、重特大疾病等紧急情况下克服困难，渡过难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139.94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139.94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1213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紧急救助人数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慰问金发放到位率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救助金发放到位率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元旦春节慰问标准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救助标准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83.99</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残疾人家庭经济支出</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残疾人事业与经济社会协调发展</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受益残疾人满意度</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3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以习近平新时代中国特色社会主义思想为指导，全面贯彻党的二十大精神，积极落实保障民生政策措施，关心残疾人群体冷暖，体察残疾人群体疾苦，保障困难残疾人基本生活，切实保障全市困难残疾人安全温暖过冬，帮助残疾人在遭遇生活困境、重特大疾病等紧急情况下克服困难，渡过难关，残疾群众反映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由于资金不足，只能解决部分残疾人的需求，离广大残疾人的期盼还有一定的距离。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建议提标扩面让更多的残疾人得到救助。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0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项目负责人：曹慧芝</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1768"/>
        <w:gridCol w:w="1013"/>
        <w:gridCol w:w="1337"/>
        <w:gridCol w:w="681"/>
        <w:gridCol w:w="779"/>
        <w:gridCol w:w="580"/>
        <w:gridCol w:w="756"/>
        <w:gridCol w:w="486"/>
        <w:gridCol w:w="607"/>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0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51050021T000000061512-残疾人宣传文化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目标1：通过组织四川残疾人艺术团莅泸演出等文体活动满足残疾人的精神文化需求；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目标2：落实与四川新闻网、泸州新闻网、泸州日报、泸州电视台的宣传合作费用，督促各媒体达成宣传指标采取与媒体合作等多种方式开展残疾人事业宣传</w:t>
            </w:r>
          </w:p>
        </w:tc>
        <w:tc>
          <w:tcPr>
            <w:tcW w:w="3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因新冠肺炎疫情影响，接疫情防控指挥部通知减少人群聚集，因此将原准备于2022年年底开展的四川残疾人艺术团演出取消。全年共合作新闻媒体4家，宣传报道共计近140次。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新冠肺炎疫情影响，接疫情防控指挥部通知减少人群聚集，因此将原准备于年底开展的四川残疾人艺术团演出取消，将剩余资金用作2023年的宣传合作预付款，还剩余11.99万元。全年共合作新闻媒体4家，宣传报道共计近140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因新冠肺炎疫情影响，接疫情防控指挥部通知减少人群聚集，因此将原准备于2022年年底开展的四川残疾人艺术团演出取消。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媒体新闻宣传次数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签约新闻媒体数量</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媒体宣传次数完成率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艺术团演出</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因新冠肺炎疫情影响，接疫情防控指挥部通知减少人群聚集，因此将原准备于2022年年底开展的四川残疾人艺术团演出取消。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残疾人事业与经济社会协调发展</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丰富残疾人精神文化生活</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观众对四川残疾人艺术团表演满意度</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因新冠肺炎疫情影响，接疫情防控指挥部通知减少人群聚集，因此将原准备于2022年年底开展的四川残疾人艺术团演出取消。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7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年共合作新闻媒体4家，宣传报道共计近140次。通过项目的实施，更大范围地宣传了残疾人生活，促进健全人对残疾人的关心关爱和理解，同时丰富残疾人的文艺生活，让残疾人共享经济社会的发展成果，促进社会和谐，产生了良好的社会效益，体现了政府对残疾人的关心帮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与媒体的合作，在宣传方式上较为单一，宣传时效性不强，宣传效果还有待提升。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丰富媒体宣传模式，在与各新闻媒体签约时，可以列出对其他新型宣传模式的要求，每阶段让媒体统计宣传数量，督促他们进行新媒体宣传，实现经费的高利用率。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项目负责人：曾瑞琦</w:t>
            </w:r>
          </w:p>
        </w:tc>
        <w:tc>
          <w:tcPr>
            <w:tcW w:w="5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5"/>
        <w:gridCol w:w="1753"/>
        <w:gridCol w:w="1011"/>
        <w:gridCol w:w="1339"/>
        <w:gridCol w:w="577"/>
        <w:gridCol w:w="594"/>
        <w:gridCol w:w="680"/>
        <w:gridCol w:w="846"/>
        <w:gridCol w:w="486"/>
        <w:gridCol w:w="606"/>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0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51050021T000000061517-联系帮扶村工作经费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保障单位驻泸县福集镇螺丝山村工作人员驻村期间正常开展工作，协助各级政府带领全村村民实现共同富裕。</w:t>
            </w:r>
          </w:p>
        </w:tc>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通过项目的实施，保障了我会1名驻村干部在帮扶村工作期间产生的车费、伙食费和公杂费补助、乡镇工作补贴等支出，全面完成了政府下达的帮扶任务。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保障单位驻泸县福集镇螺丝山村工作人员驻村期间正常开展工作所产生的差旅费、伙食费、公杂费、乡镇工作补贴等支出，通过派驻队员开展驻村工作，协助螺丝山村“两委”带领全村村民实现共同富裕，帮助当地群众办实事解决实际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派驻驻村干部人数</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合规使用经费率</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驻村第一书记工作经费</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村容村貌，群众生活水平</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提高群众满意度、幸福感</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提高村级治理能力</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驻村群众满意率</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6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98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我会严格按照《关于印发《泸州市驻村第一书记管理暂行办法》的通知》（泸组通〔2015〕57号）文件精神，根据驻村工作队员经费管理规定，严格按照标准进行报销。通过项目实施，有效保障了我会1名驻村干部在帮扶村工作期间产生的差旅费、伙食费和公杂费等支出，全面完成了政府下达的帮扶任务，项目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98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98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项目负责人：黄鑫</w:t>
            </w:r>
          </w:p>
        </w:tc>
        <w:tc>
          <w:tcPr>
            <w:tcW w:w="5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811"/>
        <w:gridCol w:w="1040"/>
        <w:gridCol w:w="1380"/>
        <w:gridCol w:w="647"/>
        <w:gridCol w:w="654"/>
        <w:gridCol w:w="597"/>
        <w:gridCol w:w="765"/>
        <w:gridCol w:w="486"/>
        <w:gridCol w:w="620"/>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0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51050022T000000379130-残疾人体育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9"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通过组织参加四川省第十届残疾人运动会暨第五届特殊奥林匹克运动会、四川省第三届全民健身运动会 ，发现、培养和输送具有良好思想品德、文化素养的高水平体育后备人才，稳固我市体育竞技成绩，促进我市竞技体育全面、协调、健康、可持续发展。</w:t>
            </w:r>
          </w:p>
        </w:tc>
        <w:tc>
          <w:tcPr>
            <w:tcW w:w="3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通过项目的实施，促进了残疾人身心康复、功能恢复、自立自强、自尊自信。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于新冠肺炎疫情影响，四川省第十届残疾人运动会暨第五届奥林匹克运动会只开展了先期比赛项目，正赛期比赛项目推迟到2023年开展，全民健身运动会也未如期举行，故结余资金12.77万元。泸州市代表团已在四川省第十届残疾人运动会先期比赛中取得27枚奖牌（金牌10枚、银牌7枚、铜牌10枚）的好成绩，在省第五届特殊奥林匹克运动会先期比赛中获3金4银2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2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参加残运会比赛项目个数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参加比赛运动员人数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参赛运动员训练率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每名参赛运动员支出成本</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泸州残疾人体育竞技水平</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残疾人运动员的身体素质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残疾人运动员满意率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99.4</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新冠肺炎疫情影响，四川省第十届残疾人运动会暨第五届奥林匹克运动会只开展了先期比赛项目，正赛期比赛项目推迟到2023年开展，全民健身运动会也未如期举行，故结余资金12.77万元。泸州市代表团已在四川省第十届残疾人运动会先期比赛中取得27枚奖牌（金牌10枚、银牌7枚、铜牌10枚）的好成绩，在省第五届特殊奥林匹克运动会先期比赛中获3金4银2铜。通过项目的实施，促进了残疾人身心康复、功能恢复、自立自强、自尊自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由于没有长期稳定的训练机制，在挖掘新残疾人运动员苗子及开展恢复性训练时，都存在一定的困难。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申请资金，制定周密的训练计划，每年持续开展训练，大力挖掘残疾人运动员苗子。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项目负责人：曾瑞琦</w:t>
            </w:r>
          </w:p>
        </w:tc>
        <w:tc>
          <w:tcPr>
            <w:tcW w:w="5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1544"/>
        <w:gridCol w:w="1023"/>
        <w:gridCol w:w="1527"/>
        <w:gridCol w:w="598"/>
        <w:gridCol w:w="756"/>
        <w:gridCol w:w="691"/>
        <w:gridCol w:w="763"/>
        <w:gridCol w:w="486"/>
        <w:gridCol w:w="617"/>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51050022T000000379236-量服工作经费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目标1：通过专业化培训，提高各级残疾人工作者服务残疾人的能力和水平；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目标2：通过开展入户调研和慰问，切实解决残疾人在生产和生活方面遇到的困难，提高全市残疾人幸福指数；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目标3：通过智慧量服、精准监督、精准管理，使各级各部门实施的涉残政策落地落实，让残疾人得到更多实惠；</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目标4：通过举办量服劳动竞赛，提升各级残联干部工作的专业度。</w:t>
            </w:r>
          </w:p>
        </w:tc>
        <w:tc>
          <w:tcPr>
            <w:tcW w:w="3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开展精准入户调研、服务、监督，督促“量服”康复、教就、维权、组联、宣文等的资金落地，提升各级残联为残疾人服务的精准度；2.开展量服培训，提高各级残疾人工作者服务残疾人的能力和水平；3.召开量服工作会议，了解区县各阶段工作开展情况，安排部署各项工作任务，进一步促进我市残疾人事业发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根据“量服”工作要求，开展全市残疾人工作者“量服”政策业务培训、会议，精准入户调研、服务、监督，督促“量服”康复、教就、维权、组联、宣文等的资金落地，提升各级残联为残疾人服务的精准度。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预算数</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资金</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培训残疾人工作者人数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量服精准监督和管理残疾人人数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入户走访慰问残疾人人数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根据实际工作，入户走访慰问残疾人数增加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量服劳动竞赛参赛人数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量服培训合格率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入户走访慰问率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人均量服劳动竞赛标准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培训综合定额标准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元/天</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入户走访慰问金标准</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残疾人事业与经济社会协调发展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残疾人满意度</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过开展量服入户调研、慰问、监督，督促“量服”康复、教就、维权、组联、宣文等涉残资金落地，切实解决了困难残疾人的困难，维护残疾人的合法权利；开展“量服讲堂”、量服劳动竞赛，进一步提升了各级残疾人工作者服务能力和水平。2022年项目实施较好，项目绩效自评得分98.7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量服培训形式较单一，培训实效性有待进一步提升。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量服培训要进一步征求业务科室、区县残联意见，开展形式多样的量服培训、“量服讲堂”等，提升培训实效。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5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项目负责人：贺娅</w:t>
            </w:r>
          </w:p>
        </w:tc>
        <w:tc>
          <w:tcPr>
            <w:tcW w:w="5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1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780"/>
        <w:gridCol w:w="1029"/>
        <w:gridCol w:w="1361"/>
        <w:gridCol w:w="606"/>
        <w:gridCol w:w="672"/>
        <w:gridCol w:w="690"/>
        <w:gridCol w:w="1012"/>
        <w:gridCol w:w="612"/>
        <w:gridCol w:w="668"/>
        <w:gridCol w:w="1612"/>
        <w:gridCol w:w="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619" w:hRule="atLeast"/>
        </w:trPr>
        <w:tc>
          <w:tcPr>
            <w:tcW w:w="10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314" w:hRule="atLeast"/>
        </w:trPr>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51050022T000000379248-办公室规范化、信息化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769" w:hRule="atLeast"/>
        </w:trPr>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10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314"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1227"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保障残联系统网站、微信及各类业务平台的正常运行，保障残疾人服务用车正常运行，保障办公室人财物的正常运行，从而保证为全市残疾人提供优质服务。</w:t>
            </w:r>
          </w:p>
        </w:tc>
        <w:tc>
          <w:tcPr>
            <w:tcW w:w="39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1.保障市残联门户网站、微信公众号等信息平台的正常运转；2.完成了1辆特种专业技术用车更替工作，同时保障了特种专业技术用车正常运行，为全市残疾人提供“量体裁衣”式个性化服务。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686"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项目通过采购新购置1辆特种专业技术用车，保障了特种专业技术用车正常运行，对门户网站、微信等平台进行维护，单位网站、平台全年正常使用。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市残联综合服务管理平台暂停使用，未产生网站维护费用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74.37%</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保障特种设备用车辆数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购置设备设备用车辆数</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购置设备设备用车合格率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特种设备用车（辅具车）年定额标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购置设备设备用车最高控制价</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残疾人事业与经济社会协调发展</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残疾人满意度</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61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整体情况实施较好，通过政府采购购置新特种专用设备用车并保障其正常运行，保障了市残联门户网站等平台的正常运转，但由于市残联综合服务管理平台暂定使用，今年未产生网站维护费。该项目支出绩效评价得分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568"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年初项目资金预算不够精准。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627"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加强对项目实施年初预算精准性的把控，对实施项目经费要认真进行讨论、调研，确保项目预算精准。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566" w:hRule="atLeast"/>
        </w:trPr>
        <w:tc>
          <w:tcPr>
            <w:tcW w:w="5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项目负责人：龙奕伶</w:t>
            </w:r>
          </w:p>
        </w:tc>
        <w:tc>
          <w:tcPr>
            <w:tcW w:w="5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1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1832"/>
        <w:gridCol w:w="1048"/>
        <w:gridCol w:w="1394"/>
        <w:gridCol w:w="596"/>
        <w:gridCol w:w="612"/>
        <w:gridCol w:w="704"/>
        <w:gridCol w:w="770"/>
        <w:gridCol w:w="446"/>
        <w:gridCol w:w="624"/>
        <w:gridCol w:w="2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1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51050022T000007004008-泸州市北部残疾人康复中心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7"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北部残疾人康复中心项目系我市社会服务设施兜底线工程2022年中央预算内投资项目，该项目占地面积13.48亩，建筑面积9200平方米，建设内容包括门诊部、住院部、康复部、社区指导部、管理用房、文体活动用房、辅助用房和其他配套设施等，切实解决我市北部区域现有残疾人康复需求量大、儿童康复训练场地不足、康复训练能力受限、规范化标准化康复机构缺乏等问题。</w:t>
            </w:r>
          </w:p>
        </w:tc>
        <w:tc>
          <w:tcPr>
            <w:tcW w:w="3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2022年项目按程序正在有序推进“三通一平”、可行性报告编制、设计地勘、预算编制等前期工作，预计2023年开工建设。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2022年项目按程序正在有序推进“三通一平”、可行性报告编制、设计地勘、预算编制等前期工作，预计2023年开工建设。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2022年项目按程序正在有序推进“三通一平”、可行性报告编制、设计地勘、预算编制等前期工作，未达到付款条件，预计2023年开工建设。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修建房屋面积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9200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项目开工时间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服务社会经济发展能力</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优良中低差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社会服务基础设施条件</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优良中低差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优 </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接受服务残疾群众满意度</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中央预算投资</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按项目计划正在实施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78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1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该项目2022年立项，2023年底完成主体工程建设，今年正在有序推进“三通一平”、可行性报告编制、设计地勘、预算编制等前期工作，由于工程建设未达到付款条件，所以中央资金未支付。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1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受建设用地影响 ，2022年土地平整工程未实质性实施，造成项目整体推进相对滞后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1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倒排工期，挂图作战，加强与泸县人民政府的对接力度，尽快解决项目土地问题。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5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项目负责人：陈云</w:t>
            </w:r>
          </w:p>
        </w:tc>
        <w:tc>
          <w:tcPr>
            <w:tcW w:w="5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1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2"/>
        <w:gridCol w:w="1822"/>
        <w:gridCol w:w="1044"/>
        <w:gridCol w:w="1389"/>
        <w:gridCol w:w="616"/>
        <w:gridCol w:w="590"/>
        <w:gridCol w:w="701"/>
        <w:gridCol w:w="770"/>
        <w:gridCol w:w="486"/>
        <w:gridCol w:w="622"/>
        <w:gridCol w:w="2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11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51050022T000007107253-市北部残疾人康复中心建设前期经费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泸州市产部残疾人康复中心建设项目系中央资金投资建设项目，项目总投资2750万元，其中中央资金投资2200万元，城市配套资金投资550万元，项目建设地点位于泸县境内。该项目将于2022年开工建设，根据项目建设需要预算前期经费。</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2022年项目按程序正在有序推进“三通一平”、可行性报告编制、设计地勘、预算编制等前期工作。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2022年完成项目可行性报告编制、设计地勘、预算编制等单位的招投标工作；“三通一平“工作推进相对滞后；选址意见书、土地划拨决定书、用地规划许可证、工程规划许可证的办理正在有序推进。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2022年项目按程序正在有序推进“三通一平”、可行性报告编制、设计地勘、预算编制等前期工作。由于相关服务公司正在开展工作，未达到合同约定付款条件，因此资金执行率较低。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修建房屋面积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地堪、环评、设计、可研报告编制通过率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项目实施时间</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服务社会经济发展能力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社会基础设施条件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优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接受服务对象满意度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地堪、环评、设计、可研报告等前期费用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22.22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按项目计划正在实施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2022年项目按程序正在有序推进“三通一平”、可行性报告编制、设计地勘、预算编制等前期工作。由于相关服务公司正在开展工作，未达到合同约定付款条件，因此资金执行率较低。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受建设用地影响 ，2022年土地平整工程未实质性实施，造成项目整体推进相对滞后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倒排工期，挂图作战，加强与泸县人民政府的对接力度，尽快解决项目土地问题。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项目负责人：陈云</w:t>
            </w:r>
          </w:p>
        </w:tc>
        <w:tc>
          <w:tcPr>
            <w:tcW w:w="5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1792"/>
        <w:gridCol w:w="1032"/>
        <w:gridCol w:w="1369"/>
        <w:gridCol w:w="525"/>
        <w:gridCol w:w="669"/>
        <w:gridCol w:w="694"/>
        <w:gridCol w:w="846"/>
        <w:gridCol w:w="486"/>
        <w:gridCol w:w="617"/>
        <w:gridCol w:w="2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51050022T000007175225-泸州市残疾人工作者能力素质培训班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76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工作者能力素质培训班，培训人员覆盖市、区、乡镇残疾人工作者，主要学习残疾人事业相关的政策和法规、情绪管理、创新思维与科学决策等内容。通过学习，增强做好残疾人工作的使命感和责任感，加深对残疾人事业发展现状的认识，为残疾人提供量体裁衣式个性化服务。</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组织全市160名残疾人工作者开展综合能力提升培训，进一步提升干部综合素质及业务能力。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定《2022年泸州残联干部综合能力提升培训班培训方案》，组织全市160名残疾人工作者干部开展残疾人康复、教就、维权、组联、宣文体、资金管理等方面培训，提升残联系统干部及基层残疾人工作者的业务素质和综合和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参加培训人数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举办培训班班次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培训完成时间</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残疾人工作者能力素质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促进残疾人事业全面发展</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参培人员满意率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每名培训人员费用定额</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7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组织举办泸州市残疾人工作者能力素质培训班，对全市160名市、县、镇、村残疾人工作者进行涉残法规、各业务板块的培训，培训针对性强、切合工作实际，内容丰富，进一步提升了全市残疾人工作者的服务残疾群众的能力和综合水平，项目严格按照年初设施的绩效指标实施，圆满完成了目标，取得了良好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受疫情影响，培训地点设置在泸州本地，并由市残联各业务板块的负责人负责授课，邀请省残联老师受疫情影响无法到场授课。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进一步丰富培训的形式，通过走出去、请进来等多种方式，学习其他残联残疾人工作的经验亮点。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5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项目负责人：黄鑫</w:t>
            </w:r>
          </w:p>
        </w:tc>
        <w:tc>
          <w:tcPr>
            <w:tcW w:w="52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1750"/>
        <w:gridCol w:w="1015"/>
        <w:gridCol w:w="1339"/>
        <w:gridCol w:w="666"/>
        <w:gridCol w:w="699"/>
        <w:gridCol w:w="683"/>
        <w:gridCol w:w="846"/>
        <w:gridCol w:w="486"/>
        <w:gridCol w:w="611"/>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0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51050022T000005941576-中央和省级财政残疾人事业发展补助资金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目标1：实施文化进残疾人家庭“五个一”项目，打造残疾人文化服务品牌项目，搭建形式多样的文化活动平台。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目标2：通过本项目实施为重度残疾人及家人享受平等文化权利提供特殊性、便利性服务，以赠阅方式为重度残疾人提供在家阅读便利服务，推动残疾人文化服务身边化。</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目标3：强化对残疾人群体的思想政治、社会主义文化引领、健康文化情趣引领，增强文化自觉和自信，坚定听党话、感党恩、跟党走的信心和决心。</w:t>
            </w:r>
          </w:p>
        </w:tc>
        <w:tc>
          <w:tcPr>
            <w:tcW w:w="3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本项目实施为重度残疾人及家人享受平等文化权利提供了特殊性、便利性服务，以赠阅方式为重度残疾人提供在家阅读便利服务，推动了残疾人文化服务身边化，强化了对残疾人群体的思想政治、社会主义文化引领、健康文化情趣的引领，增强了残疾人文化自觉和自信，坚定了残疾人听党话、感党恩、跟党走的信心和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为全市742名残疾人发放了1723本书籍，以赠阅方式为重度残疾人提供在家阅读便利服务，推动了残疾人文化服务身边化。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文化进家庭人数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742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发放读物数量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1723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文化进家庭数量完成率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2022.12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丰富残疾人文化生活</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残疾人事业与经济社会协调发展</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残疾人对发放读物满意度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文化进家庭每人成本</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8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市742名残疾人发放了1723本书籍，通过本项目实施为重度残疾人及家人享受平等文化权利提供了特殊性、便利性服务，以赠阅方式为重度残疾人提供在家阅读便利服务，推动了残疾人文化服务身边化，强化了对残疾人群体的思想政治、社会主义文化引领、健康文化情趣的引领，增强了残疾人文化自觉和自信，坚定了残疾人听党话、感党恩、跟党走的信心和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由于经费不足，能购买的书籍数量和种类存在一定限制。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补贴项目经费，更高质量地开展文化进残疾人家庭“五个一”活动。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项目负责人：曾瑞琦</w:t>
            </w:r>
          </w:p>
        </w:tc>
        <w:tc>
          <w:tcPr>
            <w:tcW w:w="53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pStyle w:val="5"/>
        <w:rPr>
          <w:rFonts w:hint="default" w:ascii="Times New Roman" w:hAnsi="Times New Roman" w:eastAsia="仿宋_GB2312" w:cs="Times New Roman"/>
          <w:color w:val="auto"/>
          <w:kern w:val="0"/>
          <w:sz w:val="32"/>
          <w:szCs w:val="32"/>
          <w:highlight w:val="none"/>
          <w:lang w:val="en-US" w:eastAsia="zh-CN" w:bidi="ar-SA"/>
        </w:rPr>
      </w:pPr>
    </w:p>
    <w:tbl>
      <w:tblPr>
        <w:tblStyle w:val="16"/>
        <w:tblW w:w="10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1788"/>
        <w:gridCol w:w="953"/>
        <w:gridCol w:w="1514"/>
        <w:gridCol w:w="586"/>
        <w:gridCol w:w="586"/>
        <w:gridCol w:w="641"/>
        <w:gridCol w:w="846"/>
        <w:gridCol w:w="486"/>
        <w:gridCol w:w="616"/>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0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51050022T000007235467-省级残疾人事业发展补助资金（体彩）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2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目标1：通过残疾人体育项目的开展，残疾人参与体育活动的积极性和健康观有所提高、文体生活更加丰富。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目标2：通过残疾人体育项目的开展，全省残疾人体育的群众基础有所增强。                                                                                                               目标3：推动特校特体育常态化、规范化发展。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目标4：培养学生参加体育锻炼良好习惯、掌握科学训练方法，增强体质体能、康复身心，让广大学生更加自尊、自信、自立、自强，提升融入社会的能力。</w:t>
            </w:r>
          </w:p>
        </w:tc>
        <w:tc>
          <w:tcPr>
            <w:tcW w:w="39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通过体育复健进校园项目及残疾人健身示范点项目的开展，残疾人参与体育活动的积极性和健康观有所提高、文体生活更加丰富。通过残疾人体育项目的开展，残疾人体育的群众基础有所增强。                                                                                                            推动了泸州市体育常态化、规范化发展。促进了学生参加体育锻炼的良好习惯，增强了学生的体质体能、康复身心，让广大学生更加自尊、自信、自立、自强，提升了学生融入社会的能力。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了1场体育复健进校园赛事，开展乒乓球、旱地冰壶等6个特校学生喜闻乐见的体育比赛，为各特校学生提供了强身健体的机会，搭建了各特殊学校交流切磋的平台。推动建设10个残疾人健身示范点，帮助残疾人就近参加康复健身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升级建设（长期开展残疾人体育活动）残疾人健身示范点数量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举办“体育复健进校园”市（州）级赛事场次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升级建设（长期开展残疾人体育活动）残疾人健身示范点数量完成率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举办“体育复健进校园”市（州）级赛事场次完成率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关心、理解、支持残疾人的社会氛围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优良中低差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残疾人事业与经济社会协调发展</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残疾人参与体育活动的积极性、健康观、文体生活丰富程度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参加残疾人体育活动人员满意度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举办“体育复健进校园”市（州）级赛事成本</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升级建设（长期开展残疾人体育活动）残疾人健身示范点成本</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7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3"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结论</w:t>
            </w:r>
          </w:p>
        </w:tc>
        <w:tc>
          <w:tcPr>
            <w:tcW w:w="100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了1场体育复健进校园赛事，开展乒乓球、旱地冰壶等6个特校学生喜闻乐见的体育比赛，为各特校学生提供了强身健体的机会，搭建了各特殊学校交流切磋的平台。推动建设10个残疾人健身示范点，帮助残疾人就近参加康复健身运动。通过体育复健进校园项目及残疾人健身示范点项目的开展，残疾人参与体育活动的积极性和健康观有所提高、文体生活更加丰富。通过残疾人体育项目的开展，残疾人体育的群众基础有所增强。                                                                                         推动了泸州市体育常态化、规范化发展。促进了学生参加体育锻炼的良好习惯，增强了学生的体质体能、康复身心，让广大学生更加自尊、自信、自立、自强，提升了学生融入社会的能力。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问题</w:t>
            </w:r>
          </w:p>
        </w:tc>
        <w:tc>
          <w:tcPr>
            <w:tcW w:w="100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由于初次举办特校联赛，办赛参赛经费分配不够均衡，办赛规模较小，项目不够丰富。同时，由于疫情原因，原定于2022年年底举行的体育复健进校园赛事推迟到2023年3-4月举行</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措施</w:t>
            </w:r>
          </w:p>
        </w:tc>
        <w:tc>
          <w:tcPr>
            <w:tcW w:w="100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完善项目方案，合理分配办赛经费，轮换办赛特校，提升各特校办赛能力，扩大办赛规模，丰富比赛项目。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项目负责人：曾瑞琦</w:t>
            </w:r>
          </w:p>
        </w:tc>
        <w:tc>
          <w:tcPr>
            <w:tcW w:w="52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财务负责人：王付君</w:t>
            </w:r>
          </w:p>
        </w:tc>
      </w:tr>
    </w:tbl>
    <w:p>
      <w:pPr>
        <w:pStyle w:val="5"/>
        <w:rPr>
          <w:rFonts w:hint="default" w:ascii="Times New Roman" w:hAnsi="Times New Roman" w:eastAsia="仿宋_GB2312" w:cs="Times New Roman"/>
          <w:color w:val="auto"/>
          <w:kern w:val="0"/>
          <w:sz w:val="32"/>
          <w:szCs w:val="32"/>
          <w:highlight w:val="none"/>
          <w:lang w:val="en-US" w:eastAsia="zh-CN" w:bidi="ar-SA"/>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52"/>
      <w:bookmarkEnd w:id="53"/>
      <w:bookmarkStart w:id="54" w:name="_Toc15396619"/>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一、收</w:t>
      </w:r>
      <w:r>
        <w:rPr>
          <w:rStyle w:val="29"/>
          <w:rFonts w:hint="default" w:ascii="Times New Roman" w:hAnsi="Times New Roman" w:eastAsia="仿宋" w:cs="Times New Roman"/>
          <w:b w:val="0"/>
          <w:bCs w:val="0"/>
          <w:color w:val="auto"/>
          <w:highlight w:val="none"/>
        </w:rPr>
        <w:t>入支出决算总表</w:t>
      </w:r>
      <w:bookmarkEnd w:id="54"/>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55" w:name="_Toc15396620"/>
      <w:r>
        <w:rPr>
          <w:rFonts w:hint="default" w:ascii="Times New Roman" w:hAnsi="Times New Roman" w:eastAsia="仿宋" w:cs="Times New Roman"/>
          <w:b w:val="0"/>
          <w:color w:val="auto"/>
          <w:highlight w:val="none"/>
        </w:rPr>
        <w:t>二、收</w:t>
      </w:r>
      <w:r>
        <w:rPr>
          <w:rStyle w:val="29"/>
          <w:rFonts w:hint="default" w:ascii="Times New Roman" w:hAnsi="Times New Roman" w:eastAsia="仿宋" w:cs="Times New Roman"/>
          <w:b w:val="0"/>
          <w:bCs w:val="0"/>
          <w:color w:val="auto"/>
          <w:highlight w:val="none"/>
        </w:rPr>
        <w:t>入决算表</w:t>
      </w:r>
      <w:bookmarkEnd w:id="55"/>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56" w:name="_Toc15396621"/>
      <w:r>
        <w:rPr>
          <w:rStyle w:val="29"/>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29"/>
          <w:rFonts w:hint="default" w:ascii="Times New Roman" w:hAnsi="Times New Roman" w:eastAsia="仿宋" w:cs="Times New Roman"/>
          <w:b w:val="0"/>
          <w:bCs w:val="0"/>
          <w:color w:val="auto"/>
          <w:highlight w:val="none"/>
        </w:rPr>
        <w:t>出决算表</w:t>
      </w:r>
      <w:bookmarkEnd w:id="56"/>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b w:val="0"/>
          <w:color w:val="auto"/>
          <w:highlight w:val="none"/>
        </w:rPr>
      </w:pPr>
      <w:bookmarkStart w:id="57" w:name="_Toc15396622"/>
      <w:r>
        <w:rPr>
          <w:rStyle w:val="29"/>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29"/>
          <w:rFonts w:hint="default" w:ascii="Times New Roman" w:hAnsi="Times New Roman" w:eastAsia="仿宋" w:cs="Times New Roman"/>
          <w:b w:val="0"/>
          <w:bCs w:val="0"/>
          <w:color w:val="auto"/>
          <w:highlight w:val="none"/>
        </w:rPr>
        <w:t>政拨款收入支出决算总表</w:t>
      </w:r>
      <w:bookmarkEnd w:id="57"/>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Style w:val="29"/>
          <w:rFonts w:hint="default" w:ascii="Times New Roman" w:hAnsi="Times New Roman" w:eastAsia="仿宋" w:cs="Times New Roman"/>
          <w:b w:val="0"/>
          <w:bCs w:val="0"/>
          <w:color w:val="auto"/>
          <w:highlight w:val="none"/>
        </w:rPr>
      </w:pPr>
      <w:bookmarkStart w:id="58" w:name="_Toc15396623"/>
      <w:r>
        <w:rPr>
          <w:rStyle w:val="29"/>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29"/>
          <w:rFonts w:hint="default" w:ascii="Times New Roman" w:hAnsi="Times New Roman" w:eastAsia="仿宋" w:cs="Times New Roman"/>
          <w:b w:val="0"/>
          <w:bCs w:val="0"/>
          <w:color w:val="auto"/>
          <w:highlight w:val="none"/>
        </w:rPr>
        <w:t>政拨款支出决算明细表</w:t>
      </w:r>
      <w:bookmarkEnd w:id="58"/>
      <w:bookmarkStart w:id="59" w:name="_Toc15396624"/>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般公共预算财政拨款支出决算表</w:t>
      </w:r>
      <w:bookmarkEnd w:id="59"/>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60" w:name="_Toc15396625"/>
      <w:r>
        <w:rPr>
          <w:rStyle w:val="29"/>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般公共预算财政拨款支出决算明细表</w:t>
      </w:r>
      <w:bookmarkEnd w:id="60"/>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61" w:name="_Toc15396626"/>
      <w:r>
        <w:rPr>
          <w:rStyle w:val="29"/>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般公共预算财政拨款基本支出决算表</w:t>
      </w:r>
      <w:bookmarkEnd w:id="61"/>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62" w:name="_Toc15396627"/>
      <w:r>
        <w:rPr>
          <w:rStyle w:val="29"/>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般公共预算财政拨款项目支出决算表</w:t>
      </w:r>
      <w:bookmarkEnd w:id="62"/>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63" w:name="_Toc15396628"/>
      <w:r>
        <w:rPr>
          <w:rStyle w:val="29"/>
          <w:rFonts w:hint="default" w:ascii="Times New Roman" w:hAnsi="Times New Roman" w:eastAsia="仿宋" w:cs="Times New Roman"/>
          <w:b w:val="0"/>
          <w:bCs w:val="0"/>
          <w:color w:val="auto"/>
          <w:highlight w:val="none"/>
        </w:rPr>
        <w:t>十、</w:t>
      </w:r>
      <w:bookmarkEnd w:id="63"/>
      <w:r>
        <w:rPr>
          <w:rFonts w:hint="default" w:ascii="Times New Roman" w:hAnsi="Times New Roman" w:eastAsia="仿宋" w:cs="Times New Roman"/>
          <w:b w:val="0"/>
          <w:color w:val="auto"/>
          <w:highlight w:val="none"/>
        </w:rPr>
        <w:t>政</w:t>
      </w:r>
      <w:r>
        <w:rPr>
          <w:rStyle w:val="29"/>
          <w:rFonts w:hint="default" w:ascii="Times New Roman" w:hAnsi="Times New Roman" w:eastAsia="仿宋" w:cs="Times New Roman"/>
          <w:b w:val="0"/>
          <w:bCs w:val="0"/>
          <w:color w:val="auto"/>
          <w:highlight w:val="none"/>
        </w:rPr>
        <w:t>府性基金预算财政拨款收入支出决算表</w:t>
      </w:r>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64" w:name="_Toc15396629"/>
      <w:r>
        <w:rPr>
          <w:rStyle w:val="29"/>
          <w:rFonts w:hint="default" w:ascii="Times New Roman" w:hAnsi="Times New Roman" w:eastAsia="仿宋" w:cs="Times New Roman"/>
          <w:b w:val="0"/>
          <w:bCs w:val="0"/>
          <w:color w:val="auto"/>
          <w:highlight w:val="none"/>
        </w:rPr>
        <w:t>十一、</w:t>
      </w:r>
      <w:bookmarkEnd w:id="64"/>
      <w:r>
        <w:rPr>
          <w:rFonts w:hint="default" w:ascii="Times New Roman" w:hAnsi="Times New Roman" w:eastAsia="仿宋" w:cs="Times New Roman"/>
          <w:b w:val="0"/>
          <w:color w:val="auto"/>
          <w:highlight w:val="none"/>
        </w:rPr>
        <w:t>国</w:t>
      </w:r>
      <w:r>
        <w:rPr>
          <w:rStyle w:val="29"/>
          <w:rFonts w:hint="default" w:ascii="Times New Roman" w:hAnsi="Times New Roman" w:eastAsia="仿宋" w:cs="Times New Roman"/>
          <w:b w:val="0"/>
          <w:bCs w:val="0"/>
          <w:color w:val="auto"/>
          <w:highlight w:val="none"/>
        </w:rPr>
        <w:t>有资本经营预算</w:t>
      </w:r>
      <w:r>
        <w:rPr>
          <w:rStyle w:val="29"/>
          <w:rFonts w:hint="default" w:ascii="Times New Roman" w:hAnsi="Times New Roman" w:eastAsia="仿宋" w:cs="Times New Roman"/>
          <w:b w:val="0"/>
          <w:bCs w:val="0"/>
          <w:color w:val="auto"/>
          <w:highlight w:val="none"/>
          <w:lang w:eastAsia="zh-CN"/>
        </w:rPr>
        <w:t>财政拨款收入</w:t>
      </w:r>
      <w:r>
        <w:rPr>
          <w:rStyle w:val="29"/>
          <w:rFonts w:hint="default" w:ascii="Times New Roman" w:hAnsi="Times New Roman" w:eastAsia="仿宋" w:cs="Times New Roman"/>
          <w:b w:val="0"/>
          <w:bCs w:val="0"/>
          <w:color w:val="auto"/>
          <w:highlight w:val="none"/>
        </w:rPr>
        <w:t>支出决算表</w:t>
      </w:r>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rPr>
      </w:pPr>
      <w:bookmarkStart w:id="65" w:name="_Toc15396630"/>
      <w:r>
        <w:rPr>
          <w:rStyle w:val="29"/>
          <w:rFonts w:hint="default" w:ascii="Times New Roman" w:hAnsi="Times New Roman" w:eastAsia="仿宋" w:cs="Times New Roman"/>
          <w:b w:val="0"/>
          <w:bCs w:val="0"/>
          <w:color w:val="auto"/>
          <w:highlight w:val="none"/>
        </w:rPr>
        <w:t>十二、</w:t>
      </w:r>
      <w:bookmarkEnd w:id="65"/>
      <w:r>
        <w:rPr>
          <w:rStyle w:val="29"/>
          <w:rFonts w:hint="default" w:ascii="Times New Roman" w:hAnsi="Times New Roman" w:eastAsia="仿宋" w:cs="Times New Roman"/>
          <w:b w:val="0"/>
          <w:bCs w:val="0"/>
          <w:color w:val="auto"/>
          <w:highlight w:val="none"/>
          <w:lang w:eastAsia="zh-CN"/>
        </w:rPr>
        <w:t>国有资本经营预算财政拨款支出决算表</w:t>
      </w:r>
    </w:p>
    <w:p>
      <w:pPr>
        <w:pStyle w:val="3"/>
        <w:keepNext/>
        <w:keepLines/>
        <w:pageBreakBefore w:val="0"/>
        <w:widowControl w:val="0"/>
        <w:kinsoku/>
        <w:wordWrap/>
        <w:overflowPunct/>
        <w:topLinePunct w:val="0"/>
        <w:autoSpaceDE/>
        <w:autoSpaceDN/>
        <w:bidi w:val="0"/>
        <w:adjustRightInd/>
        <w:snapToGrid/>
        <w:spacing w:before="100" w:after="100" w:line="416" w:lineRule="auto"/>
        <w:ind w:firstLine="1280" w:firstLineChars="400"/>
        <w:textAlignment w:val="auto"/>
        <w:rPr>
          <w:rFonts w:hint="default" w:ascii="Times New Roman" w:hAnsi="Times New Roman" w:eastAsia="仿宋" w:cs="Times New Roman"/>
          <w:color w:val="auto"/>
          <w:highlight w:val="none"/>
          <w:lang w:eastAsia="zh-CN"/>
        </w:rPr>
      </w:pPr>
      <w:bookmarkStart w:id="66" w:name="_Toc15396631"/>
      <w:r>
        <w:rPr>
          <w:rStyle w:val="29"/>
          <w:rFonts w:hint="default" w:ascii="Times New Roman" w:hAnsi="Times New Roman" w:eastAsia="仿宋" w:cs="Times New Roman"/>
          <w:b w:val="0"/>
          <w:bCs w:val="0"/>
          <w:color w:val="auto"/>
          <w:highlight w:val="none"/>
        </w:rPr>
        <w:t>十三、</w:t>
      </w:r>
      <w:bookmarkEnd w:id="66"/>
      <w:r>
        <w:rPr>
          <w:rStyle w:val="29"/>
          <w:rFonts w:hint="default" w:ascii="Times New Roman" w:hAnsi="Times New Roman" w:eastAsia="仿宋" w:cs="Times New Roman"/>
          <w:b w:val="0"/>
          <w:bCs w:val="0"/>
          <w:color w:val="auto"/>
          <w:highlight w:val="none"/>
          <w:lang w:eastAsia="zh-CN"/>
        </w:rPr>
        <w:t>财政拨款“三公”经费支出决算表</w:t>
      </w:r>
    </w:p>
    <w:sectPr>
      <w:footerReference r:id="rId6" w:type="default"/>
      <w:pgSz w:w="11906" w:h="16838"/>
      <w:pgMar w:top="1020" w:right="567" w:bottom="850" w:left="567" w:header="851" w:footer="992" w:gutter="0"/>
      <w:pgNumType w:start="2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8B611D-5C43-4B19-A602-C481FFFD5E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AA7150E-5880-4F51-B881-3B773B22DDF1}"/>
  </w:font>
  <w:font w:name="仿宋">
    <w:panose1 w:val="02010609060101010101"/>
    <w:charset w:val="86"/>
    <w:family w:val="modern"/>
    <w:pitch w:val="default"/>
    <w:sig w:usb0="800002BF" w:usb1="38CF7CFA" w:usb2="00000016" w:usb3="00000000" w:csb0="00040001" w:csb1="00000000"/>
    <w:embedRegular r:id="rId3" w:fontKey="{92B36916-9D33-4166-9168-B227CA962692}"/>
  </w:font>
  <w:font w:name="方正小标宋简体">
    <w:panose1 w:val="02000000000000000000"/>
    <w:charset w:val="86"/>
    <w:family w:val="script"/>
    <w:pitch w:val="default"/>
    <w:sig w:usb0="A00002BF" w:usb1="184F6CFA" w:usb2="00000012" w:usb3="00000000" w:csb0="00040001" w:csb1="00000000"/>
    <w:embedRegular r:id="rId4" w:fontKey="{155AF5AD-B40F-41B1-A2FA-5C21C862A758}"/>
  </w:font>
  <w:font w:name="方正仿宋简体">
    <w:panose1 w:val="03000509000000000000"/>
    <w:charset w:val="86"/>
    <w:family w:val="auto"/>
    <w:pitch w:val="default"/>
    <w:sig w:usb0="00000001" w:usb1="080E0000" w:usb2="00000000" w:usb3="00000000" w:csb0="00040000" w:csb1="00000000"/>
    <w:embedRegular r:id="rId5" w:fontKey="{78A7F52E-B3A6-4B6D-B597-06C2E66AEFC7}"/>
  </w:font>
  <w:font w:name="微软雅黑">
    <w:panose1 w:val="020B0503020204020204"/>
    <w:charset w:val="86"/>
    <w:family w:val="auto"/>
    <w:pitch w:val="default"/>
    <w:sig w:usb0="80000287" w:usb1="280F3C52" w:usb2="00000016" w:usb3="00000000" w:csb0="0004001F" w:csb1="00000000"/>
    <w:embedRegular r:id="rId6" w:fontKey="{CCE78BE4-B177-4166-A347-C65DB3DBFE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374DFAD"/>
    <w:multiLevelType w:val="singleLevel"/>
    <w:tmpl w:val="1374DFAD"/>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NGZmOWY4NWQwMjJlODg5MDNlMWMyNDlmYzhjN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7C5D79"/>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49C69FA"/>
    <w:rsid w:val="48BF60AB"/>
    <w:rsid w:val="493C27E9"/>
    <w:rsid w:val="496F39ED"/>
    <w:rsid w:val="49FF41D3"/>
    <w:rsid w:val="4B643D74"/>
    <w:rsid w:val="4BE068DB"/>
    <w:rsid w:val="4BF6002B"/>
    <w:rsid w:val="4ECE2238"/>
    <w:rsid w:val="51DB4B86"/>
    <w:rsid w:val="5201292D"/>
    <w:rsid w:val="55333C3E"/>
    <w:rsid w:val="64CA39A1"/>
    <w:rsid w:val="67487530"/>
    <w:rsid w:val="69630ADE"/>
    <w:rsid w:val="69765236"/>
    <w:rsid w:val="69E730FD"/>
    <w:rsid w:val="6C4A05C8"/>
    <w:rsid w:val="6CBA06FB"/>
    <w:rsid w:val="6D3B1A89"/>
    <w:rsid w:val="70AC3009"/>
    <w:rsid w:val="719721EE"/>
    <w:rsid w:val="71BF4EC2"/>
    <w:rsid w:val="724959C3"/>
    <w:rsid w:val="72734D90"/>
    <w:rsid w:val="7412278C"/>
    <w:rsid w:val="7479314F"/>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unhideWhenUsed/>
    <w:qFormat/>
    <w:uiPriority w:val="99"/>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2"/>
    <w:basedOn w:val="6"/>
    <w:next w:val="1"/>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2"/>
    <w:qFormat/>
    <w:uiPriority w:val="9"/>
    <w:rPr>
      <w:rFonts w:ascii="Times New Roman" w:hAnsi="Times New Roman"/>
      <w:b/>
      <w:bCs/>
      <w:kern w:val="44"/>
      <w:sz w:val="44"/>
      <w:szCs w:val="44"/>
    </w:rPr>
  </w:style>
  <w:style w:type="character" w:customStyle="1" w:styleId="29">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8"/>
    <w:semiHidden/>
    <w:qFormat/>
    <w:uiPriority w:val="99"/>
    <w:rPr>
      <w:rFonts w:ascii="Times New Roman" w:hAnsi="Times New Roman"/>
      <w:kern w:val="2"/>
      <w:sz w:val="18"/>
      <w:szCs w:val="18"/>
    </w:rPr>
  </w:style>
  <w:style w:type="character" w:customStyle="1" w:styleId="32">
    <w:name w:val="标题 3 Char"/>
    <w:basedOn w:val="17"/>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t>收、支决算总计变动情况</a:t>
            </a:r>
          </a:p>
        </c:rich>
      </c:tx>
      <c:layout>
        <c:manualLayout>
          <c:xMode val="edge"/>
          <c:yMode val="edge"/>
          <c:x val="0.317622950819673"/>
          <c:y val="0.0077942322681215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2021年收支预算执行情况</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Sheet1!$B$2</c:f>
              <c:numCache>
                <c:formatCode>General</c:formatCode>
                <c:ptCount val="1"/>
                <c:pt idx="0">
                  <c:v>1059.93</c:v>
                </c:pt>
              </c:numCache>
            </c:numRef>
          </c:val>
        </c:ser>
        <c:ser>
          <c:idx val="1"/>
          <c:order val="1"/>
          <c:tx>
            <c:strRef>
              <c:f>Sheet1!$C$1</c:f>
              <c:strCache>
                <c:ptCount val="1"/>
                <c:pt idx="0">
                  <c:v>2022年收支预算执行情况</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c:f>
              <c:numCache>
                <c:formatCode>General</c:formatCode>
                <c:ptCount val="1"/>
              </c:numCache>
            </c:numRef>
          </c:cat>
          <c:val>
            <c:numRef>
              <c:f>Sheet1!$C$2</c:f>
              <c:numCache>
                <c:formatCode>General</c:formatCode>
                <c:ptCount val="1"/>
                <c:pt idx="0">
                  <c:v>1516.72</c:v>
                </c:pt>
              </c:numCache>
            </c:numRef>
          </c:val>
        </c:ser>
        <c:dLbls>
          <c:showLegendKey val="0"/>
          <c:showVal val="1"/>
          <c:showCatName val="0"/>
          <c:showSerName val="0"/>
          <c:showPercent val="0"/>
          <c:showBubbleSize val="0"/>
        </c:dLbls>
        <c:gapWidth val="75"/>
        <c:overlap val="-25"/>
        <c:axId val="159524736"/>
        <c:axId val="159526272"/>
      </c:barChart>
      <c:catAx>
        <c:axId val="15952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26272"/>
        <c:crosses val="autoZero"/>
        <c:auto val="1"/>
        <c:lblAlgn val="ctr"/>
        <c:lblOffset val="100"/>
        <c:noMultiLvlLbl val="0"/>
      </c:catAx>
      <c:valAx>
        <c:axId val="1595262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24736"/>
        <c:crosses val="autoZero"/>
        <c:crossBetween val="between"/>
      </c:valAx>
      <c:spPr>
        <a:noFill/>
        <a:ln>
          <a:noFill/>
        </a:ln>
        <a:effectLst/>
      </c:spPr>
    </c:plotArea>
    <c:legend>
      <c:legendPos val="b"/>
      <c:layout>
        <c:manualLayout>
          <c:xMode val="edge"/>
          <c:yMode val="edge"/>
          <c:x val="0.17096018735363"/>
          <c:y val="0.881787477266823"/>
          <c:w val="0.716188524590164"/>
          <c:h val="0.0870355936606911"/>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3535638673253"/>
          <c:y val="0.021460228598087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title>
    <c:autoTitleDeleted val="0"/>
    <c:plotArea>
      <c:layout/>
      <c:pieChart>
        <c:varyColors val="1"/>
        <c:ser>
          <c:idx val="0"/>
          <c:order val="0"/>
          <c:tx>
            <c:strRef>
              <c:f>Sheet1!$B$1</c:f>
              <c:strCache>
                <c:ptCount val="1"/>
                <c:pt idx="0">
                  <c:v>收入决算情况</c:v>
                </c:pt>
              </c:strCache>
            </c:strRef>
          </c:tx>
          <c:spPr>
            <a:solidFill>
              <a:schemeClr val="accent6">
                <a:lumMod val="60000"/>
                <a:lumOff val="40000"/>
              </a:schemeClr>
            </a:solidFill>
          </c:spPr>
          <c:explosion val="0"/>
          <c:dPt>
            <c:idx val="0"/>
            <c:bubble3D val="0"/>
            <c:spPr>
              <a:solidFill>
                <a:schemeClr val="tx2">
                  <a:lumMod val="60000"/>
                  <a:lumOff val="40000"/>
                </a:schemeClr>
              </a:solidFill>
              <a:ln w="19050">
                <a:solidFill>
                  <a:schemeClr val="lt1"/>
                </a:solidFill>
              </a:ln>
              <a:effectLst/>
            </c:spPr>
          </c:dPt>
          <c:dPt>
            <c:idx val="1"/>
            <c:bubble3D val="0"/>
            <c:spPr>
              <a:solidFill>
                <a:schemeClr val="accent3">
                  <a:lumMod val="75000"/>
                </a:schemeClr>
              </a:solidFill>
              <a:ln w="19050">
                <a:solidFill>
                  <a:schemeClr val="lt1"/>
                </a:solidFill>
              </a:ln>
              <a:effectLst/>
            </c:spPr>
          </c:dPt>
          <c:dLbls>
            <c:dLbl>
              <c:idx val="0"/>
              <c:layout>
                <c:manualLayout>
                  <c:x val="-0.084788644258689"/>
                  <c:y val="-0.19021504920501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a:latin typeface="黑体" panose="02010609060101010101" charset="-122"/>
                        <a:ea typeface="黑体" panose="02010609060101010101" charset="-122"/>
                        <a:cs typeface="黑体" panose="02010609060101010101" charset="-122"/>
                        <a:sym typeface="黑体" panose="02010609060101010101" charset="-122"/>
                      </a:rPr>
                      <a:t>一般公共预算财政拨款收入, 1426.72万元</a:t>
                    </a:r>
                    <a:endParaRPr>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1"/>
              <c:showSerName val="0"/>
              <c:showPercent val="0"/>
              <c:showBubbleSize val="0"/>
              <c:extLst>
                <c:ext xmlns:c15="http://schemas.microsoft.com/office/drawing/2012/chart" uri="{CE6537A1-D6FC-4f65-9D91-7224C49458BB}">
                  <c15:layout>
                    <c:manualLayout>
                      <c:w val="0.295836273817925"/>
                      <c:h val="0.165150454863541"/>
                    </c:manualLayout>
                  </c15:layout>
                </c:ext>
              </c:extLst>
            </c:dLbl>
            <c:dLbl>
              <c:idx val="1"/>
              <c:layout>
                <c:manualLayout>
                  <c:x val="-0.0728684054106888"/>
                  <c:y val="0.055622086928683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a:latin typeface="黑体" panose="02010609060101010101" charset="-122"/>
                        <a:ea typeface="黑体" panose="02010609060101010101" charset="-122"/>
                        <a:cs typeface="黑体" panose="02010609060101010101" charset="-122"/>
                        <a:sym typeface="黑体" panose="02010609060101010101" charset="-122"/>
                      </a:rPr>
                      <a:t>政府性基金预算财政拨款收入, 90万元</a:t>
                    </a:r>
                    <a:endParaRPr>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1"/>
              <c:showSerName val="0"/>
              <c:showPercent val="0"/>
              <c:showBubbleSize val="0"/>
              <c:extLst>
                <c:ext xmlns:c15="http://schemas.microsoft.com/office/drawing/2012/chart" uri="{CE6537A1-D6FC-4f65-9D91-7224C49458BB}">
                  <c15:layout>
                    <c:manualLayout>
                      <c:w val="0.269442484121383"/>
                      <c:h val="0.165150454863541"/>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1426.72</c:v>
                </c:pt>
                <c:pt idx="1">
                  <c:v>90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manualLayout>
          <c:xMode val="edge"/>
          <c:yMode val="edge"/>
          <c:x val="0.604940014114326"/>
          <c:y val="0.424539304875204"/>
          <c:w val="0.378122794636556"/>
          <c:h val="0.2425938885001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b="0">
                <a:latin typeface="宋体" panose="02010600030101010101" charset="-122"/>
                <a:ea typeface="宋体" panose="02010600030101010101" charset="-122"/>
                <a:cs typeface="宋体" panose="02010600030101010101" charset="-122"/>
                <a:sym typeface="宋体" panose="02010600030101010101" charset="-122"/>
              </a:rPr>
              <a:t>支出决算情况</a:t>
            </a:r>
            <a:endParaRPr b="0">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370338741816112"/>
          <c:y val="0.0290861732146733"/>
        </c:manualLayout>
      </c:layout>
      <c:overlay val="0"/>
      <c:spPr>
        <a:noFill/>
        <a:ln>
          <a:noFill/>
        </a:ln>
        <a:effectLst/>
      </c:spPr>
    </c:title>
    <c:autoTitleDeleted val="0"/>
    <c:plotArea>
      <c:layout/>
      <c:pieChart>
        <c:varyColors val="1"/>
        <c:ser>
          <c:idx val="0"/>
          <c:order val="0"/>
          <c:tx>
            <c:strRef>
              <c:f>Sheet1!$B$1</c:f>
              <c:strCache>
                <c:ptCount val="1"/>
                <c:pt idx="0">
                  <c:v>单位：万元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68281960526464"/>
                  <c:y val="0.169173768013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r>
                      <a:rPr b="0"/>
                      <a:t>基本支出,</a:t>
                    </a:r>
                    <a:r>
                      <a:rPr lang="en-US" altLang="zh-CN" b="0"/>
                      <a:t>                  </a:t>
                    </a:r>
                    <a:r>
                      <a:rPr b="0"/>
                      <a:t> 428.81万元</a:t>
                    </a:r>
                    <a:endParaRPr b="0"/>
                  </a:p>
                </c:rich>
              </c:tx>
              <c:dLblPos val="bestFit"/>
              <c:showLegendKey val="0"/>
              <c:showVal val="1"/>
              <c:showCatName val="1"/>
              <c:showSerName val="0"/>
              <c:showPercent val="0"/>
              <c:showBubbleSize val="0"/>
              <c:extLst>
                <c:ext xmlns:c15="http://schemas.microsoft.com/office/drawing/2012/chart" uri="{CE6537A1-D6FC-4f65-9D91-7224C49458BB}">
                  <c15:layout>
                    <c:manualLayout>
                      <c:w val="0.271074380165289"/>
                      <c:h val="0.164573186362471"/>
                    </c:manualLayout>
                  </c15:layout>
                </c:ext>
              </c:extLst>
            </c:dLbl>
            <c:dLbl>
              <c:idx val="1"/>
              <c:layout>
                <c:manualLayout>
                  <c:x val="0.159783097139677"/>
                  <c:y val="-0.1842667464514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r>
                      <a:rPr b="0"/>
                      <a:t>项目支出, 1087.91万元</a:t>
                    </a:r>
                    <a:endParaRPr b="0"/>
                  </a:p>
                </c:rich>
              </c:tx>
              <c:dLblPos val="bestFit"/>
              <c:showLegendKey val="0"/>
              <c:showVal val="1"/>
              <c:showCatName val="1"/>
              <c:showSerName val="0"/>
              <c:showPercent val="0"/>
              <c:showBubbleSize val="0"/>
              <c:extLst>
                <c:ext xmlns:c15="http://schemas.microsoft.com/office/drawing/2012/chart" uri="{CE6537A1-D6FC-4f65-9D91-7224C49458BB}">
                  <c15:layout>
                    <c:manualLayout>
                      <c:w val="0.236694214876033"/>
                      <c:h val="0.199948731094591"/>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Sheet1!$B$2:$B$3</c:f>
              <c:numCache>
                <c:formatCode>General</c:formatCode>
                <c:ptCount val="2"/>
                <c:pt idx="0">
                  <c:v>428.81</c:v>
                </c:pt>
                <c:pt idx="1">
                  <c:v>1087.91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b="0">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b="0">
                <a:latin typeface="宋体" panose="02010600030101010101" charset="-122"/>
                <a:ea typeface="宋体" panose="02010600030101010101" charset="-122"/>
                <a:cs typeface="宋体" panose="02010600030101010101" charset="-122"/>
                <a:sym typeface="宋体" panose="02010600030101010101" charset="-122"/>
              </a:rPr>
              <a:t>财政拨款收、支决算总计变动情况</a:t>
            </a:r>
            <a:endParaRPr b="0">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212466211732046"/>
          <c:y val="0.00667556742323097"/>
        </c:manualLayout>
      </c:layout>
      <c:overlay val="0"/>
      <c:spPr>
        <a:noFill/>
        <a:ln>
          <a:noFill/>
        </a:ln>
        <a:effectLst/>
      </c:spPr>
    </c:title>
    <c:autoTitleDeleted val="0"/>
    <c:plotArea>
      <c:layout>
        <c:manualLayout>
          <c:layoutTarget val="inner"/>
          <c:xMode val="edge"/>
          <c:yMode val="edge"/>
          <c:x val="0.0766830786026201"/>
          <c:y val="0.121263005780347"/>
          <c:w val="0.8938"/>
          <c:h val="0.716566666666667"/>
        </c:manualLayout>
      </c:layout>
      <c:barChart>
        <c:barDir val="col"/>
        <c:grouping val="clustered"/>
        <c:varyColors val="0"/>
        <c:ser>
          <c:idx val="0"/>
          <c:order val="0"/>
          <c:tx>
            <c:strRef>
              <c:f>Sheet1!$A$1</c:f>
              <c:strCache>
                <c:ptCount val="1"/>
                <c:pt idx="0">
                  <c:v>2021年财政拨款收、支决算数</c:v>
                </c:pt>
              </c:strCache>
            </c:strRef>
          </c:tx>
          <c:spPr>
            <a:solidFill>
              <a:schemeClr val="tx2">
                <a:lumMod val="60000"/>
                <a:lumOff val="40000"/>
              </a:schemeClr>
            </a:solidFill>
            <a:ln>
              <a:noFill/>
            </a:ln>
            <a:effectLst/>
          </c:spPr>
          <c:invertIfNegative val="0"/>
          <c:dLbls>
            <c:dLbl>
              <c:idx val="0"/>
              <c:layout>
                <c:manualLayout>
                  <c:x val="0.00204694323144105"/>
                  <c:y val="0.232977303070761"/>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050">
                        <a:latin typeface="黑体" panose="02010609060101010101" charset="-122"/>
                        <a:ea typeface="黑体" panose="02010609060101010101" charset="-122"/>
                        <a:cs typeface="黑体" panose="02010609060101010101" charset="-122"/>
                        <a:sym typeface="黑体" panose="02010609060101010101" charset="-122"/>
                      </a:rPr>
                      <a:t>1059.93万元</a:t>
                    </a:r>
                    <a:endParaRPr sz="1050">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84497816593886"/>
                      <c:h val="0.070983533600356"/>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Sheet1!$A$2</c:f>
              <c:numCache>
                <c:formatCode>General</c:formatCode>
                <c:ptCount val="1"/>
                <c:pt idx="0">
                  <c:v>1059.93</c:v>
                </c:pt>
              </c:numCache>
            </c:numRef>
          </c:val>
        </c:ser>
        <c:ser>
          <c:idx val="1"/>
          <c:order val="1"/>
          <c:tx>
            <c:strRef>
              <c:f>Sheet1!$B$1</c:f>
              <c:strCache>
                <c:ptCount val="1"/>
                <c:pt idx="0">
                  <c:v>2022年财政拨款收、支决算数</c:v>
                </c:pt>
              </c:strCache>
            </c:strRef>
          </c:tx>
          <c:spPr>
            <a:solidFill>
              <a:schemeClr val="accent6">
                <a:lumMod val="60000"/>
                <a:lumOff val="40000"/>
              </a:schemeClr>
            </a:solidFill>
            <a:ln>
              <a:noFill/>
            </a:ln>
            <a:effectLst/>
          </c:spPr>
          <c:invertIfNegative val="0"/>
          <c:dLbls>
            <c:dLbl>
              <c:idx val="0"/>
              <c:layout>
                <c:manualLayout>
                  <c:x val="0.00573144104803493"/>
                  <c:y val="0.252113929684023"/>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050">
                        <a:latin typeface="黑体" panose="02010609060101010101" charset="-122"/>
                        <a:ea typeface="黑体" panose="02010609060101010101" charset="-122"/>
                        <a:cs typeface="黑体" panose="02010609060101010101" charset="-122"/>
                        <a:sym typeface="黑体" panose="02010609060101010101" charset="-122"/>
                      </a:rPr>
                      <a:t>1516.72万元</a:t>
                    </a:r>
                    <a:endParaRPr lang="en-US" altLang="zh-CN" sz="1050">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Sheet1!$B$2</c:f>
              <c:numCache>
                <c:formatCode>General</c:formatCode>
                <c:ptCount val="1"/>
                <c:pt idx="0">
                  <c:v>1516.72</c:v>
                </c:pt>
              </c:numCache>
            </c:numRef>
          </c:val>
        </c:ser>
        <c:dLbls>
          <c:showLegendKey val="0"/>
          <c:showVal val="1"/>
          <c:showCatName val="0"/>
          <c:showSerName val="0"/>
          <c:showPercent val="0"/>
          <c:showBubbleSize val="0"/>
        </c:dLbls>
        <c:gapWidth val="219"/>
        <c:overlap val="-27"/>
        <c:axId val="231794944"/>
        <c:axId val="235106304"/>
      </c:barChart>
      <c:catAx>
        <c:axId val="231794944"/>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mn-ea"/>
                <a:sym typeface="+mn-ea"/>
              </a:defRPr>
            </a:pPr>
          </a:p>
        </c:txPr>
        <c:crossAx val="235106304"/>
        <c:crosses val="autoZero"/>
        <c:auto val="1"/>
        <c:lblAlgn val="ctr"/>
        <c:lblOffset val="100"/>
        <c:noMultiLvlLbl val="0"/>
      </c:catAx>
      <c:valAx>
        <c:axId val="2351063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23179494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Entry>
      <c:layout>
        <c:manualLayout>
          <c:xMode val="edge"/>
          <c:yMode val="edge"/>
          <c:x val="0.0595547846198323"/>
          <c:y val="0.846340804752903"/>
          <c:w val="0.890575310783463"/>
          <c:h val="0.1150418579530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mn-ea"/>
          <a:ea typeface="+mn-ea"/>
          <a:cs typeface="+mn-ea"/>
          <a:sym typeface="+mn-ea"/>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a:latin typeface="宋体" panose="02010600030101010101" charset="-122"/>
                <a:ea typeface="宋体" panose="02010600030101010101" charset="-122"/>
                <a:cs typeface="宋体" panose="02010600030101010101" charset="-122"/>
                <a:sym typeface="宋体" panose="02010600030101010101" charset="-122"/>
              </a:rPr>
              <a:t>一般公共预算财政拨款支出决算变动情况</a:t>
            </a:r>
            <a:endParaRPr>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129429563354112"/>
          <c:y val="0.00626959247648903"/>
        </c:manualLayout>
      </c:layout>
      <c:overlay val="0"/>
      <c:spPr>
        <a:noFill/>
        <a:ln>
          <a:noFill/>
        </a:ln>
        <a:effectLst/>
      </c:spPr>
    </c:title>
    <c:autoTitleDeleted val="0"/>
    <c:plotArea>
      <c:layout/>
      <c:barChart>
        <c:barDir val="col"/>
        <c:grouping val="clustered"/>
        <c:varyColors val="0"/>
        <c:ser>
          <c:idx val="0"/>
          <c:order val="0"/>
          <c:tx>
            <c:strRef>
              <c:f>Sheet1!$A$1</c:f>
              <c:strCache>
                <c:ptCount val="1"/>
                <c:pt idx="0">
                  <c:v>2021年一般公共预算财政拨款支出决算数</c:v>
                </c:pt>
              </c:strCache>
            </c:strRef>
          </c:tx>
          <c:spPr>
            <a:solidFill>
              <a:schemeClr val="accent1"/>
            </a:solidFill>
            <a:ln>
              <a:noFill/>
            </a:ln>
            <a:effectLst/>
          </c:spPr>
          <c:invertIfNegative val="0"/>
          <c:dLbls>
            <c:dLbl>
              <c:idx val="0"/>
              <c:layout>
                <c:manualLayout>
                  <c:x val="-0.000106798179398572"/>
                  <c:y val="0.24189088067341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050">
                        <a:latin typeface="黑体" panose="02010609060101010101" charset="-122"/>
                        <a:ea typeface="黑体" panose="02010609060101010101" charset="-122"/>
                        <a:cs typeface="黑体" panose="02010609060101010101" charset="-122"/>
                        <a:sym typeface="黑体" panose="02010609060101010101" charset="-122"/>
                      </a:rPr>
                      <a:t>1059.93万元</a:t>
                    </a:r>
                    <a:endParaRPr sz="1050">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35900962861073"/>
                      <c:h val="0.094343475597304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Sheet1!$A$2</c:f>
              <c:numCache>
                <c:formatCode>General</c:formatCode>
                <c:ptCount val="1"/>
                <c:pt idx="0">
                  <c:v>1059.93</c:v>
                </c:pt>
              </c:numCache>
            </c:numRef>
          </c:val>
        </c:ser>
        <c:ser>
          <c:idx val="1"/>
          <c:order val="1"/>
          <c:tx>
            <c:strRef>
              <c:f>Sheet1!$B$1</c:f>
              <c:strCache>
                <c:ptCount val="1"/>
                <c:pt idx="0">
                  <c:v>2022年一般公共预算财政拨款支出决算数</c:v>
                </c:pt>
              </c:strCache>
            </c:strRef>
          </c:tx>
          <c:spPr>
            <a:solidFill>
              <a:schemeClr val="accent2"/>
            </a:solidFill>
            <a:ln>
              <a:noFill/>
            </a:ln>
            <a:effectLst/>
          </c:spPr>
          <c:invertIfNegative val="0"/>
          <c:dLbls>
            <c:dLbl>
              <c:idx val="0"/>
              <c:layout>
                <c:manualLayout>
                  <c:x val="0.000106798179398603"/>
                  <c:y val="0.243305105839136"/>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050">
                        <a:latin typeface="黑体" panose="02010609060101010101" charset="-122"/>
                        <a:ea typeface="黑体" panose="02010609060101010101" charset="-122"/>
                        <a:cs typeface="黑体" panose="02010609060101010101" charset="-122"/>
                        <a:sym typeface="黑体" panose="02010609060101010101" charset="-122"/>
                      </a:rPr>
                      <a:t>1426.72万元</a:t>
                    </a:r>
                    <a:endParaRPr sz="1050">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19669876203576"/>
                      <c:h val="0.113130488053911"/>
                    </c:manualLayout>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Sheet1!$B$2</c:f>
              <c:numCache>
                <c:formatCode>General</c:formatCode>
                <c:ptCount val="1"/>
                <c:pt idx="0">
                  <c:v>1426.72</c:v>
                </c:pt>
              </c:numCache>
            </c:numRef>
          </c:val>
        </c:ser>
        <c:dLbls>
          <c:showLegendKey val="0"/>
          <c:showVal val="1"/>
          <c:showCatName val="0"/>
          <c:showSerName val="0"/>
          <c:showPercent val="0"/>
          <c:showBubbleSize val="0"/>
        </c:dLbls>
        <c:gapWidth val="219"/>
        <c:overlap val="-27"/>
        <c:axId val="200458624"/>
        <c:axId val="200460160"/>
      </c:barChart>
      <c:catAx>
        <c:axId val="20045862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200460160"/>
        <c:crosses val="autoZero"/>
        <c:auto val="1"/>
        <c:lblAlgn val="ctr"/>
        <c:lblOffset val="100"/>
        <c:noMultiLvlLbl val="0"/>
      </c:catAx>
      <c:valAx>
        <c:axId val="20046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20045862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manualLayout>
          <c:xMode val="edge"/>
          <c:yMode val="edge"/>
          <c:x val="0.241127922971114"/>
          <c:y val="0.886127917026793"/>
          <c:w val="0.513617606602476"/>
          <c:h val="0.1073898012100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单位：万元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187529097165643"/>
                  <c:y val="-0.27287037205533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r>
                      <a:rPr b="0">
                        <a:latin typeface="黑体" panose="02010609060101010101" charset="-122"/>
                        <a:ea typeface="黑体" panose="02010609060101010101" charset="-122"/>
                        <a:cs typeface="黑体" panose="02010609060101010101" charset="-122"/>
                        <a:sym typeface="黑体" panose="02010609060101010101" charset="-122"/>
                      </a:rPr>
                      <a:t>社会保障和就业（类）支出, 1385.23万元</a:t>
                    </a:r>
                    <a:endParaRPr b="0">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1"/>
              <c:showSerName val="0"/>
              <c:showPercent val="0"/>
              <c:showBubbleSize val="0"/>
              <c:extLst>
                <c:ext xmlns:c15="http://schemas.microsoft.com/office/drawing/2012/chart" uri="{CE6537A1-D6FC-4f65-9D91-7224C49458BB}">
                  <c15:layout>
                    <c:manualLayout>
                      <c:w val="0.323274424808269"/>
                      <c:h val="0.336179295624333"/>
                    </c:manualLayout>
                  </c15:layout>
                </c:ext>
              </c:extLst>
            </c:dLbl>
            <c:dLbl>
              <c:idx val="1"/>
              <c:layout>
                <c:manualLayout>
                  <c:x val="-0.154648497275007"/>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r>
                      <a:rPr b="0">
                        <a:latin typeface="黑体" panose="02010609060101010101" charset="-122"/>
                        <a:ea typeface="黑体" panose="02010609060101010101" charset="-122"/>
                        <a:cs typeface="黑体" panose="02010609060101010101" charset="-122"/>
                        <a:sym typeface="黑体" panose="02010609060101010101" charset="-122"/>
                      </a:rPr>
                      <a:t>卫生健康（类）支出, 15.61万元</a:t>
                    </a:r>
                    <a:endParaRPr b="0">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1"/>
              <c:showSerName val="0"/>
              <c:showPercent val="0"/>
              <c:showBubbleSize val="0"/>
              <c:extLst>
                <c:ext xmlns:c15="http://schemas.microsoft.com/office/drawing/2012/chart" uri="{CE6537A1-D6FC-4f65-9D91-7224C49458BB}">
                  <c15:layout>
                    <c:manualLayout>
                      <c:w val="0.284823284823285"/>
                      <c:h val="0.152708124373119"/>
                    </c:manualLayout>
                  </c15:layout>
                </c:ext>
              </c:extLst>
            </c:dLbl>
            <c:dLbl>
              <c:idx val="2"/>
              <c:layout>
                <c:manualLayout>
                  <c:x val="0.24779321087284"/>
                  <c:y val="0.0040021344717182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r>
                      <a:rPr b="0">
                        <a:latin typeface="黑体" panose="02010609060101010101" charset="-122"/>
                        <a:ea typeface="黑体" panose="02010609060101010101" charset="-122"/>
                        <a:cs typeface="黑体" panose="02010609060101010101" charset="-122"/>
                        <a:sym typeface="黑体" panose="02010609060101010101" charset="-122"/>
                      </a:rPr>
                      <a:t>住房保障（类）支出, 25.88万元</a:t>
                    </a:r>
                    <a:endParaRPr b="0">
                      <a:latin typeface="黑体" panose="02010609060101010101" charset="-122"/>
                      <a:ea typeface="黑体" panose="02010609060101010101" charset="-122"/>
                      <a:cs typeface="黑体" panose="02010609060101010101" charset="-122"/>
                      <a:sym typeface="黑体" panose="02010609060101010101" charset="-122"/>
                    </a:endParaRPr>
                  </a:p>
                </c:rich>
              </c:tx>
              <c:dLblPos val="bestFit"/>
              <c:showLegendKey val="0"/>
              <c:showVal val="1"/>
              <c:showCatName val="1"/>
              <c:showSerName val="0"/>
              <c:showPercent val="0"/>
              <c:showBubbleSize val="0"/>
              <c:extLst>
                <c:ext xmlns:c15="http://schemas.microsoft.com/office/drawing/2012/chart" uri="{CE6537A1-D6FC-4f65-9D91-7224C49458BB}">
                  <c15:layout>
                    <c:manualLayout>
                      <c:w val="0.311325633511464"/>
                      <c:h val="0.229041095890411"/>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社会保障和就业（类）支出</c:v>
                </c:pt>
                <c:pt idx="1">
                  <c:v>卫生健康（类）支出</c:v>
                </c:pt>
                <c:pt idx="2">
                  <c:v>住房保障（类）支出</c:v>
                </c:pt>
              </c:strCache>
            </c:strRef>
          </c:cat>
          <c:val>
            <c:numRef>
              <c:f>Sheet1!$B$2:$B$4</c:f>
              <c:numCache>
                <c:formatCode>General</c:formatCode>
                <c:ptCount val="3"/>
                <c:pt idx="0">
                  <c:v>1385.23</c:v>
                </c:pt>
                <c:pt idx="1">
                  <c:v>15.61</c:v>
                </c:pt>
                <c:pt idx="2">
                  <c:v>25.88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b="0">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42257217847769"/>
          <c:y val="0.00709387562071412"/>
        </c:manualLayout>
      </c:layout>
      <c:overlay val="0"/>
      <c:txPr>
        <a:bodyPr rot="0" spcFirstLastPara="0" vertOverflow="ellipsis" vert="horz" wrap="square" anchor="ctr" anchorCtr="1"/>
        <a:lstStyle/>
        <a:p>
          <a:pPr>
            <a:defRPr lang="zh-CN" sz="1800" b="0"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p>
      </c:txPr>
    </c:title>
    <c:autoTitleDeleted val="0"/>
    <c:plotArea>
      <c:layout/>
      <c:pieChart>
        <c:varyColors val="1"/>
        <c:ser>
          <c:idx val="0"/>
          <c:order val="0"/>
          <c:tx>
            <c:strRef>
              <c:f>Sheet1!$B$1</c:f>
              <c:strCache>
                <c:ptCount val="1"/>
                <c:pt idx="0">
                  <c:v>“三公”经费财政拨款支出结构情况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46858039340544"/>
                  <c:y val="0.1205958855521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t>因公出国（境）费支出，</a:t>
                    </a:r>
                    <a:r>
                      <a:rPr lang="en-US" altLang="zh-CN"/>
                      <a:t>0</a:t>
                    </a:r>
                    <a:r>
                      <a:rPr altLang="en-US"/>
                      <a:t>万元</a:t>
                    </a:r>
                    <a:endParaRPr lang="en-US" altLang="zh-CN"/>
                  </a:p>
                </c:rich>
              </c:tx>
              <c:dLblPos val="bestFit"/>
              <c:showLegendKey val="0"/>
              <c:showVal val="1"/>
              <c:showCatName val="0"/>
              <c:showSerName val="0"/>
              <c:showPercent val="0"/>
              <c:showBubbleSize val="0"/>
              <c:separator>
</c:separator>
              <c:extLst>
                <c:ext xmlns:c15="http://schemas.microsoft.com/office/drawing/2012/chart" uri="{CE6537A1-D6FC-4f65-9D91-7224C49458BB}">
                  <c15:layout>
                    <c:manualLayout>
                      <c:w val="0.214829396325459"/>
                      <c:h val="0.203357767793805"/>
                    </c:manualLayout>
                  </c15:layout>
                </c:ext>
              </c:extLst>
            </c:dLbl>
            <c:dLbl>
              <c:idx val="1"/>
              <c:layout>
                <c:manualLayout>
                  <c:x val="-0.015018837138156"/>
                  <c:y val="-0.12414282336249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t>公务用车购置及运行维护费支出，</a:t>
                    </a:r>
                    <a:r>
                      <a:rPr lang="en-US" altLang="zh-CN"/>
                      <a:t>39.8</a:t>
                    </a:r>
                    <a:r>
                      <a:rPr altLang="en-US"/>
                      <a:t>万元</a:t>
                    </a:r>
                    <a:endParaRPr lang="en-US" altLang="zh-CN"/>
                  </a:p>
                </c:rich>
              </c:tx>
              <c:dLblPos val="bestFit"/>
              <c:showLegendKey val="0"/>
              <c:showVal val="1"/>
              <c:showCatName val="0"/>
              <c:showSerName val="0"/>
              <c:showPercent val="0"/>
              <c:showBubbleSize val="0"/>
              <c:separator>
</c:separator>
              <c:extLst>
                <c:ext xmlns:c15="http://schemas.microsoft.com/office/drawing/2012/chart" uri="{CE6537A1-D6FC-4f65-9D91-7224C49458BB}">
                  <c15:layout>
                    <c:manualLayout>
                      <c:w val="0.264386448370887"/>
                      <c:h val="0.265440965239874"/>
                    </c:manualLayout>
                  </c15:layout>
                </c:ext>
              </c:extLst>
            </c:dLbl>
            <c:dLbl>
              <c:idx val="2"/>
              <c:layout>
                <c:manualLayout>
                  <c:x val="0.153542412260534"/>
                  <c:y val="0.06570190071322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t>公务接待费支出</a:t>
                    </a:r>
                  </a:p>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altLang="en-US"/>
                      <a:t>，</a:t>
                    </a:r>
                    <a:r>
                      <a:rPr lang="en-US" altLang="zh-CN"/>
                      <a:t>0.38</a:t>
                    </a:r>
                    <a:r>
                      <a:rPr altLang="en-US"/>
                      <a:t>万元</a:t>
                    </a:r>
                    <a:endParaRPr lang="en-US" altLang="zh-CN"/>
                  </a:p>
                </c:rich>
              </c:tx>
              <c:dLblPos val="bestFit"/>
              <c:showLegendKey val="0"/>
              <c:showVal val="1"/>
              <c:showCatName val="0"/>
              <c:showSerName val="0"/>
              <c:showPercent val="0"/>
              <c:showBubbleSize val="0"/>
              <c:separator>
</c:separator>
              <c:extLst>
                <c:ext xmlns:c15="http://schemas.microsoft.com/office/drawing/2012/chart" uri="{CE6537A1-D6FC-4f65-9D91-7224C49458BB}">
                  <c15:layout>
                    <c:manualLayout>
                      <c:w val="0.22742782152231"/>
                      <c:h val="0.135729486876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39.8</c:v>
                </c:pt>
                <c:pt idx="2">
                  <c:v>0.38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Entry>
      <c:layout>
        <c:manualLayout>
          <c:xMode val="edge"/>
          <c:yMode val="edge"/>
          <c:x val="0.545422693860463"/>
          <c:y val="0.369590919839206"/>
          <c:w val="0.450640298265521"/>
          <c:h val="0.4593507612754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b="0">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23877</Words>
  <Characters>26829</Characters>
  <Lines>61</Lines>
  <Paragraphs>17</Paragraphs>
  <TotalTime>6</TotalTime>
  <ScaleCrop>false</ScaleCrop>
  <LinksUpToDate>false</LinksUpToDate>
  <CharactersWithSpaces>27333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丑妈</cp:lastModifiedBy>
  <cp:lastPrinted>2023-07-31T02:35:00Z</cp:lastPrinted>
  <dcterms:modified xsi:type="dcterms:W3CDTF">2023-09-26T10:57:46Z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2E31112A72ED4CA29641FA4A7AD65F92</vt:lpwstr>
  </property>
</Properties>
</file>