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600" w:lineRule="exact"/>
        <w:jc w:val="center"/>
        <w:rPr>
          <w:rFonts w:hint="default" w:ascii="Times New Roman" w:hAnsi="Times New Roman" w:eastAsia="黑体" w:cs="Times New Roman"/>
          <w:color w:val="000000"/>
          <w:sz w:val="48"/>
          <w:szCs w:val="48"/>
        </w:rPr>
      </w:pPr>
    </w:p>
    <w:p>
      <w:pPr>
        <w:widowControl/>
        <w:spacing w:line="600" w:lineRule="exact"/>
        <w:jc w:val="center"/>
        <w:rPr>
          <w:rFonts w:hint="default" w:ascii="Times New Roman" w:hAnsi="Times New Roman" w:eastAsia="黑体" w:cs="Times New Roman"/>
          <w:color w:val="000000"/>
          <w:sz w:val="48"/>
          <w:szCs w:val="48"/>
        </w:rPr>
      </w:pPr>
    </w:p>
    <w:p>
      <w:pPr>
        <w:widowControl/>
        <w:spacing w:line="600" w:lineRule="exact"/>
        <w:jc w:val="center"/>
        <w:rPr>
          <w:rFonts w:hint="default" w:ascii="Times New Roman" w:hAnsi="Times New Roman" w:eastAsia="黑体" w:cs="Times New Roman"/>
          <w:color w:val="000000"/>
          <w:sz w:val="48"/>
          <w:szCs w:val="48"/>
        </w:rPr>
      </w:pPr>
    </w:p>
    <w:p>
      <w:pPr>
        <w:widowControl/>
        <w:spacing w:line="600" w:lineRule="exact"/>
        <w:jc w:val="center"/>
        <w:rPr>
          <w:rFonts w:hint="default" w:ascii="Times New Roman" w:hAnsi="Times New Roman" w:eastAsia="黑体" w:cs="Times New Roman"/>
          <w:color w:val="000000"/>
          <w:sz w:val="48"/>
          <w:szCs w:val="48"/>
        </w:rPr>
      </w:pPr>
    </w:p>
    <w:p>
      <w:pPr>
        <w:widowControl/>
        <w:spacing w:line="600" w:lineRule="exact"/>
        <w:jc w:val="center"/>
        <w:rPr>
          <w:rFonts w:hint="default" w:ascii="Times New Roman" w:hAnsi="Times New Roman" w:eastAsia="黑体" w:cs="Times New Roman"/>
          <w:color w:val="000000"/>
          <w:sz w:val="48"/>
          <w:szCs w:val="48"/>
        </w:rPr>
      </w:pPr>
    </w:p>
    <w:p>
      <w:pPr>
        <w:widowControl/>
        <w:spacing w:line="600" w:lineRule="exact"/>
        <w:jc w:val="center"/>
        <w:rPr>
          <w:rFonts w:hint="default" w:ascii="Times New Roman" w:hAnsi="Times New Roman" w:eastAsia="黑体" w:cs="Times New Roman"/>
          <w:color w:val="000000"/>
          <w:sz w:val="48"/>
          <w:szCs w:val="48"/>
        </w:rPr>
      </w:pPr>
    </w:p>
    <w:p>
      <w:pPr>
        <w:widowControl/>
        <w:spacing w:line="600" w:lineRule="exact"/>
        <w:jc w:val="center"/>
        <w:rPr>
          <w:rFonts w:hint="default" w:ascii="Times New Roman" w:hAnsi="Times New Roman" w:eastAsia="黑体" w:cs="Times New Roman"/>
          <w:color w:val="000000"/>
          <w:sz w:val="48"/>
          <w:szCs w:val="48"/>
        </w:rPr>
      </w:pPr>
    </w:p>
    <w:p>
      <w:pPr>
        <w:widowControl/>
        <w:spacing w:line="600" w:lineRule="exact"/>
        <w:jc w:val="center"/>
        <w:rPr>
          <w:rFonts w:hint="default" w:ascii="Times New Roman" w:hAnsi="Times New Roman" w:eastAsia="黑体" w:cs="Times New Roman"/>
          <w:color w:val="000000"/>
          <w:sz w:val="48"/>
          <w:szCs w:val="48"/>
        </w:rPr>
      </w:pPr>
    </w:p>
    <w:p>
      <w:pPr>
        <w:widowControl/>
        <w:spacing w:line="600" w:lineRule="exact"/>
        <w:jc w:val="center"/>
        <w:rPr>
          <w:rFonts w:hint="default" w:ascii="Times New Roman" w:hAnsi="Times New Roman" w:eastAsia="黑体" w:cs="Times New Roman"/>
          <w:color w:val="000000"/>
          <w:sz w:val="48"/>
          <w:szCs w:val="48"/>
        </w:rPr>
      </w:pPr>
    </w:p>
    <w:p>
      <w:pPr>
        <w:widowControl/>
        <w:spacing w:line="600" w:lineRule="exact"/>
        <w:jc w:val="center"/>
        <w:rPr>
          <w:rFonts w:hint="eastAsia" w:ascii="方正小标宋简体" w:hAnsi="方正小标宋简体" w:eastAsia="方正小标宋简体" w:cs="方正小标宋简体"/>
          <w:b/>
          <w:bCs/>
          <w:color w:val="000000"/>
          <w:sz w:val="52"/>
          <w:szCs w:val="52"/>
        </w:rPr>
      </w:pPr>
      <w:r>
        <w:rPr>
          <w:rFonts w:hint="eastAsia" w:ascii="方正小标宋简体" w:hAnsi="方正小标宋简体" w:eastAsia="方正小标宋简体" w:cs="方正小标宋简体"/>
          <w:b/>
          <w:bCs/>
          <w:color w:val="000000"/>
          <w:sz w:val="52"/>
          <w:szCs w:val="52"/>
        </w:rPr>
        <w:t>泸州市残疾人康复服务中心                              2023年部门预算</w:t>
      </w:r>
    </w:p>
    <w:p>
      <w:pPr>
        <w:widowControl/>
        <w:spacing w:line="600" w:lineRule="exact"/>
        <w:jc w:val="center"/>
        <w:rPr>
          <w:rFonts w:hint="default" w:ascii="Times New Roman" w:hAnsi="Times New Roman" w:eastAsia="黑体" w:cs="Times New Roman"/>
          <w:color w:val="000000"/>
          <w:sz w:val="48"/>
          <w:szCs w:val="48"/>
        </w:rPr>
      </w:pPr>
    </w:p>
    <w:p>
      <w:pPr>
        <w:widowControl/>
        <w:spacing w:line="600" w:lineRule="exact"/>
        <w:jc w:val="center"/>
        <w:rPr>
          <w:rFonts w:hint="default" w:ascii="Times New Roman" w:hAnsi="Times New Roman" w:eastAsia="黑体" w:cs="Times New Roman"/>
          <w:color w:val="000000"/>
          <w:sz w:val="48"/>
          <w:szCs w:val="48"/>
        </w:rPr>
      </w:pPr>
    </w:p>
    <w:p>
      <w:pPr>
        <w:widowControl/>
        <w:spacing w:line="600" w:lineRule="exact"/>
        <w:jc w:val="center"/>
        <w:rPr>
          <w:rFonts w:hint="default" w:ascii="Times New Roman" w:hAnsi="Times New Roman" w:eastAsia="黑体" w:cs="Times New Roman"/>
          <w:color w:val="000000"/>
          <w:sz w:val="48"/>
          <w:szCs w:val="48"/>
        </w:rPr>
      </w:pPr>
    </w:p>
    <w:p>
      <w:pPr>
        <w:widowControl/>
        <w:spacing w:line="600" w:lineRule="exact"/>
        <w:jc w:val="center"/>
        <w:rPr>
          <w:rFonts w:hint="default" w:ascii="Times New Roman" w:hAnsi="Times New Roman" w:eastAsia="黑体" w:cs="Times New Roman"/>
          <w:color w:val="000000"/>
          <w:sz w:val="48"/>
          <w:szCs w:val="48"/>
        </w:rPr>
      </w:pPr>
    </w:p>
    <w:p>
      <w:pPr>
        <w:widowControl/>
        <w:spacing w:line="600" w:lineRule="exact"/>
        <w:jc w:val="center"/>
        <w:rPr>
          <w:rFonts w:hint="default" w:ascii="Times New Roman" w:hAnsi="Times New Roman" w:eastAsia="黑体" w:cs="Times New Roman"/>
          <w:color w:val="000000"/>
          <w:sz w:val="48"/>
          <w:szCs w:val="48"/>
        </w:rPr>
      </w:pPr>
    </w:p>
    <w:p>
      <w:pPr>
        <w:widowControl/>
        <w:spacing w:line="600" w:lineRule="exact"/>
        <w:jc w:val="center"/>
        <w:rPr>
          <w:rFonts w:hint="default" w:ascii="Times New Roman" w:hAnsi="Times New Roman" w:eastAsia="黑体" w:cs="Times New Roman"/>
          <w:color w:val="000000"/>
          <w:sz w:val="48"/>
          <w:szCs w:val="48"/>
        </w:rPr>
      </w:pPr>
    </w:p>
    <w:p>
      <w:pPr>
        <w:pStyle w:val="2"/>
        <w:rPr>
          <w:rFonts w:hint="default" w:ascii="Times New Roman" w:hAnsi="Times New Roman" w:eastAsia="黑体" w:cs="Times New Roman"/>
          <w:color w:val="000000"/>
          <w:sz w:val="48"/>
          <w:szCs w:val="48"/>
        </w:rPr>
      </w:pPr>
    </w:p>
    <w:p>
      <w:pPr>
        <w:rPr>
          <w:rFonts w:hint="default" w:ascii="Times New Roman" w:hAnsi="Times New Roman" w:eastAsia="黑体" w:cs="Times New Roman"/>
          <w:color w:val="000000"/>
          <w:sz w:val="48"/>
          <w:szCs w:val="48"/>
        </w:rPr>
      </w:pPr>
    </w:p>
    <w:p>
      <w:pPr>
        <w:pStyle w:val="2"/>
        <w:rPr>
          <w:rFonts w:hint="default" w:ascii="Times New Roman" w:hAnsi="Times New Roman" w:eastAsia="黑体" w:cs="Times New Roman"/>
          <w:color w:val="000000"/>
          <w:sz w:val="48"/>
          <w:szCs w:val="48"/>
        </w:rPr>
      </w:pPr>
    </w:p>
    <w:p>
      <w:pPr>
        <w:rPr>
          <w:rFonts w:hint="default" w:ascii="Times New Roman" w:hAnsi="Times New Roman" w:eastAsia="黑体" w:cs="Times New Roman"/>
          <w:color w:val="000000"/>
          <w:sz w:val="48"/>
          <w:szCs w:val="48"/>
        </w:rPr>
      </w:pPr>
    </w:p>
    <w:p>
      <w:pPr>
        <w:pStyle w:val="2"/>
        <w:rPr>
          <w:rFonts w:hint="default" w:ascii="Times New Roman" w:hAnsi="Times New Roman" w:eastAsia="黑体" w:cs="Times New Roman"/>
          <w:color w:val="000000"/>
          <w:sz w:val="48"/>
          <w:szCs w:val="48"/>
        </w:rPr>
      </w:pPr>
    </w:p>
    <w:p>
      <w:pPr>
        <w:rPr>
          <w:rFonts w:hint="default"/>
        </w:rPr>
      </w:pPr>
    </w:p>
    <w:p>
      <w:pPr>
        <w:widowControl/>
        <w:spacing w:line="600" w:lineRule="exact"/>
        <w:jc w:val="center"/>
        <w:rPr>
          <w:rFonts w:hint="default" w:ascii="Times New Roman" w:hAnsi="Times New Roman" w:eastAsia="黑体" w:cs="Times New Roman"/>
          <w:color w:val="000000"/>
          <w:sz w:val="48"/>
          <w:szCs w:val="48"/>
        </w:rPr>
      </w:pPr>
      <w:r>
        <w:rPr>
          <w:rFonts w:hint="default" w:ascii="Times New Roman" w:hAnsi="Times New Roman" w:eastAsia="黑体" w:cs="Times New Roman"/>
          <w:color w:val="000000"/>
          <w:sz w:val="48"/>
          <w:szCs w:val="48"/>
        </w:rPr>
        <w:t>目 录</w:t>
      </w:r>
    </w:p>
    <w:p>
      <w:pPr>
        <w:pStyle w:val="6"/>
        <w:rPr>
          <w:rFonts w:hint="eastAsia" w:ascii="仿宋_GB2312" w:hAnsi="仿宋_GB2312" w:eastAsia="仿宋_GB2312" w:cs="仿宋_GB2312"/>
          <w:sz w:val="32"/>
          <w:szCs w:val="32"/>
        </w:rPr>
      </w:pPr>
      <w:r>
        <w:rPr>
          <w:rFonts w:hint="default" w:ascii="Times New Roman" w:hAnsi="Times New Roman" w:cs="Times New Roman"/>
          <w:sz w:val="32"/>
          <w:szCs w:val="32"/>
        </w:rPr>
        <w:t>公开时间：202</w:t>
      </w:r>
      <w:r>
        <w:rPr>
          <w:rFonts w:hint="default" w:ascii="Times New Roman" w:hAnsi="Times New Roman" w:cs="Times New Roman"/>
          <w:sz w:val="32"/>
          <w:szCs w:val="32"/>
          <w:lang w:val="en"/>
        </w:rPr>
        <w:t>3</w:t>
      </w:r>
      <w:r>
        <w:rPr>
          <w:rFonts w:hint="default" w:ascii="Times New Roman" w:hAnsi="Times New Roman" w:cs="Times New Roman"/>
          <w:sz w:val="32"/>
          <w:szCs w:val="32"/>
        </w:rPr>
        <w:t>年</w:t>
      </w:r>
      <w:r>
        <w:rPr>
          <w:rFonts w:hint="default" w:ascii="Times New Roman" w:hAnsi="Times New Roman" w:cs="Times New Roman"/>
          <w:sz w:val="32"/>
          <w:szCs w:val="32"/>
          <w:lang w:val="en"/>
        </w:rPr>
        <w:t>2</w:t>
      </w:r>
      <w:r>
        <w:rPr>
          <w:rFonts w:hint="default" w:ascii="Times New Roman" w:hAnsi="Times New Roman" w:cs="Times New Roman"/>
          <w:sz w:val="32"/>
          <w:szCs w:val="32"/>
        </w:rPr>
        <w:t>月</w:t>
      </w:r>
      <w:r>
        <w:rPr>
          <w:rFonts w:hint="eastAsia" w:ascii="Times New Roman" w:hAnsi="Times New Roman" w:cs="Times New Roman"/>
          <w:sz w:val="32"/>
          <w:szCs w:val="32"/>
          <w:lang w:val="en-US" w:eastAsia="zh-CN"/>
        </w:rPr>
        <w:t>8</w:t>
      </w:r>
      <w:r>
        <w:rPr>
          <w:rFonts w:hint="default" w:ascii="Times New Roman" w:hAnsi="Times New Roman" w:cs="Times New Roman"/>
          <w:sz w:val="32"/>
          <w:szCs w:val="32"/>
        </w:rPr>
        <w:t>日</w:t>
      </w: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 TOC \o "1-3" \h \z \u </w:instrText>
      </w:r>
      <w:r>
        <w:rPr>
          <w:rFonts w:hint="eastAsia" w:ascii="仿宋_GB2312" w:hAnsi="仿宋_GB2312" w:eastAsia="仿宋_GB2312" w:cs="仿宋_GB2312"/>
          <w:sz w:val="32"/>
          <w:szCs w:val="32"/>
        </w:rPr>
        <w:fldChar w:fldCharType="separate"/>
      </w:r>
    </w:p>
    <w:p>
      <w:pPr>
        <w:pStyle w:val="6"/>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"_Toc51762650"</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b/>
          <w:sz w:val="32"/>
          <w:szCs w:val="32"/>
        </w:rPr>
        <w:t xml:space="preserve"> 一、基本职能及主要工作</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fldLock="1"/>
      </w:r>
      <w:r>
        <w:rPr>
          <w:rFonts w:hint="eastAsia" w:ascii="仿宋_GB2312" w:hAnsi="仿宋_GB2312" w:eastAsia="仿宋_GB2312" w:cs="仿宋_GB2312"/>
          <w:b/>
          <w:bCs/>
          <w:sz w:val="32"/>
          <w:szCs w:val="32"/>
        </w:rPr>
        <w:instrText xml:space="preserve"> PAGEREF _Toc51762650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sz w:val="32"/>
          <w:szCs w:val="32"/>
        </w:rPr>
        <w:fldChar w:fldCharType="end"/>
      </w:r>
    </w:p>
    <w:p>
      <w:pPr>
        <w:pStyle w:val="7"/>
        <w:spacing w:line="600" w:lineRule="exact"/>
        <w:rPr>
          <w:rFonts w:hint="eastAsia" w:ascii="仿宋_GB2312" w:hAnsi="仿宋_GB2312" w:eastAsia="仿宋_GB2312" w:cs="仿宋_GB2312"/>
          <w:sz w:val="32"/>
          <w:szCs w:val="32"/>
        </w:rPr>
      </w:pPr>
      <w:r>
        <w:rPr>
          <w:rStyle w:val="9"/>
          <w:rFonts w:hint="eastAsia" w:ascii="仿宋_GB2312" w:hAnsi="仿宋_GB2312" w:eastAsia="仿宋_GB2312" w:cs="仿宋_GB2312"/>
          <w:sz w:val="32"/>
          <w:szCs w:val="32"/>
          <w:lang w:eastAsia="zh-CN"/>
        </w:rPr>
        <w:t>（</w:t>
      </w:r>
      <w:r>
        <w:rPr>
          <w:rStyle w:val="9"/>
          <w:rFonts w:hint="eastAsia" w:ascii="仿宋_GB2312" w:hAnsi="仿宋_GB2312" w:eastAsia="仿宋_GB2312" w:cs="仿宋_GB2312"/>
          <w:sz w:val="32"/>
          <w:szCs w:val="32"/>
        </w:rPr>
        <w:t>一</w:t>
      </w:r>
      <w:r>
        <w:rPr>
          <w:rStyle w:val="9"/>
          <w:rFonts w:hint="eastAsia" w:ascii="仿宋_GB2312" w:hAnsi="仿宋_GB2312" w:eastAsia="仿宋_GB2312" w:cs="仿宋_GB2312"/>
          <w:sz w:val="32"/>
          <w:szCs w:val="32"/>
          <w:lang w:eastAsia="zh-CN"/>
        </w:rPr>
        <w:t>）</w:t>
      </w:r>
      <w:r>
        <w:rPr>
          <w:rStyle w:val="9"/>
          <w:rFonts w:hint="eastAsia" w:ascii="仿宋_GB2312" w:hAnsi="仿宋_GB2312" w:eastAsia="仿宋_GB2312" w:cs="仿宋_GB2312"/>
          <w:sz w:val="32"/>
          <w:szCs w:val="32"/>
        </w:rPr>
        <w:fldChar w:fldCharType="begin" w:fldLock="1"/>
      </w:r>
      <w:r>
        <w:rPr>
          <w:rStyle w:val="9"/>
          <w:rFonts w:hint="eastAsia" w:ascii="仿宋_GB2312" w:hAnsi="仿宋_GB2312" w:eastAsia="仿宋_GB2312" w:cs="仿宋_GB2312"/>
          <w:sz w:val="32"/>
          <w:szCs w:val="32"/>
        </w:rPr>
        <w:instrText xml:space="preserve">HYPERLINK \l "_Toc51762651"</w:instrText>
      </w:r>
      <w:r>
        <w:rPr>
          <w:rStyle w:val="9"/>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lang w:eastAsia="zh-CN"/>
        </w:rPr>
        <w:t>市残疾人康复服务中心</w:t>
      </w:r>
      <w:r>
        <w:rPr>
          <w:rStyle w:val="9"/>
          <w:rFonts w:hint="eastAsia" w:ascii="仿宋_GB2312" w:hAnsi="仿宋_GB2312" w:eastAsia="仿宋_GB2312" w:cs="仿宋_GB2312"/>
          <w:sz w:val="32"/>
          <w:szCs w:val="32"/>
        </w:rPr>
        <w:t>职能简介</w:t>
      </w:r>
      <w:r>
        <w:rPr>
          <w:rStyle w:val="9"/>
          <w:rFonts w:hint="eastAsia" w:ascii="仿宋_GB2312" w:hAnsi="仿宋_GB2312" w:eastAsia="仿宋_GB2312" w:cs="仿宋_GB2312"/>
          <w:sz w:val="32"/>
          <w:szCs w:val="32"/>
        </w:rPr>
        <w:tab/>
      </w:r>
      <w:r>
        <w:rPr>
          <w:rStyle w:val="9"/>
          <w:rFonts w:hint="eastAsia" w:ascii="仿宋_GB2312" w:hAnsi="仿宋_GB2312" w:eastAsia="仿宋_GB2312" w:cs="仿宋_GB2312"/>
          <w:sz w:val="32"/>
          <w:szCs w:val="32"/>
        </w:rPr>
        <w:fldChar w:fldCharType="begin" w:fldLock="1"/>
      </w:r>
      <w:r>
        <w:rPr>
          <w:rStyle w:val="9"/>
          <w:rFonts w:hint="eastAsia" w:ascii="仿宋_GB2312" w:hAnsi="仿宋_GB2312" w:eastAsia="仿宋_GB2312" w:cs="仿宋_GB2312"/>
          <w:sz w:val="32"/>
          <w:szCs w:val="32"/>
        </w:rPr>
        <w:instrText xml:space="preserve"> PAGEREF _Toc51762651 \h </w:instrText>
      </w:r>
      <w:r>
        <w:rPr>
          <w:rStyle w:val="9"/>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4</w:t>
      </w:r>
      <w:r>
        <w:rPr>
          <w:rStyle w:val="9"/>
          <w:rFonts w:hint="eastAsia" w:ascii="仿宋_GB2312" w:hAnsi="仿宋_GB2312" w:eastAsia="仿宋_GB2312" w:cs="仿宋_GB2312"/>
          <w:sz w:val="32"/>
          <w:szCs w:val="32"/>
        </w:rPr>
        <w:fldChar w:fldCharType="end"/>
      </w:r>
      <w:r>
        <w:rPr>
          <w:rStyle w:val="9"/>
          <w:rFonts w:hint="eastAsia" w:ascii="仿宋_GB2312" w:hAnsi="仿宋_GB2312" w:eastAsia="仿宋_GB2312" w:cs="仿宋_GB2312"/>
          <w:sz w:val="32"/>
          <w:szCs w:val="32"/>
        </w:rPr>
        <w:fldChar w:fldCharType="end"/>
      </w:r>
    </w:p>
    <w:p>
      <w:pPr>
        <w:pStyle w:val="7"/>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"_Toc51762656"</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lang w:eastAsia="zh-CN"/>
        </w:rPr>
        <w:t>（二）市残疾人康复服务中心</w:t>
      </w:r>
      <w:r>
        <w:rPr>
          <w:rStyle w:val="9"/>
          <w:rFonts w:hint="eastAsia" w:ascii="仿宋_GB2312" w:hAnsi="仿宋_GB2312" w:eastAsia="仿宋_GB2312" w:cs="仿宋_GB2312"/>
          <w:sz w:val="32"/>
          <w:szCs w:val="32"/>
        </w:rPr>
        <w:t>2023年重点工作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4</w:t>
      </w:r>
    </w:p>
    <w:p>
      <w:pPr>
        <w:pStyle w:val="6"/>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"_Toc51762657"</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b/>
          <w:sz w:val="32"/>
          <w:szCs w:val="32"/>
          <w:lang w:eastAsia="zh-CN"/>
        </w:rPr>
        <w:t>二、</w:t>
      </w:r>
      <w:r>
        <w:rPr>
          <w:rStyle w:val="9"/>
          <w:rFonts w:hint="eastAsia" w:ascii="仿宋_GB2312" w:hAnsi="仿宋_GB2312" w:eastAsia="仿宋_GB2312" w:cs="仿宋_GB2312"/>
          <w:b/>
          <w:sz w:val="32"/>
          <w:szCs w:val="32"/>
        </w:rPr>
        <w:t>部门预算单位构成</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sz w:val="32"/>
          <w:szCs w:val="32"/>
        </w:rPr>
        <w:fldChar w:fldCharType="end"/>
      </w:r>
    </w:p>
    <w:p>
      <w:pPr>
        <w:pStyle w:val="6"/>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"_Toc51762657"</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b/>
          <w:sz w:val="32"/>
          <w:szCs w:val="32"/>
          <w:lang w:eastAsia="zh-CN"/>
        </w:rPr>
        <w:t>三、</w:t>
      </w:r>
      <w:r>
        <w:rPr>
          <w:rStyle w:val="9"/>
          <w:rFonts w:hint="eastAsia" w:ascii="仿宋_GB2312" w:hAnsi="仿宋_GB2312" w:eastAsia="仿宋_GB2312" w:cs="仿宋_GB2312"/>
          <w:b/>
          <w:sz w:val="32"/>
          <w:szCs w:val="32"/>
        </w:rPr>
        <w:t>收支预算情况说明</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sz w:val="32"/>
          <w:szCs w:val="32"/>
        </w:rPr>
        <w:fldChar w:fldCharType="end"/>
      </w:r>
    </w:p>
    <w:p>
      <w:pPr>
        <w:pStyle w:val="7"/>
        <w:spacing w:line="600" w:lineRule="exact"/>
        <w:rPr>
          <w:rFonts w:hint="eastAsia" w:ascii="仿宋_GB2312" w:hAnsi="仿宋_GB2312" w:eastAsia="仿宋_GB2312" w:cs="仿宋_GB2312"/>
          <w:sz w:val="32"/>
          <w:szCs w:val="32"/>
        </w:rPr>
      </w:pPr>
      <w:r>
        <w:rPr>
          <w:rStyle w:val="9"/>
          <w:rFonts w:hint="eastAsia" w:ascii="仿宋_GB2312" w:hAnsi="仿宋_GB2312" w:eastAsia="仿宋_GB2312" w:cs="仿宋_GB2312"/>
          <w:sz w:val="32"/>
          <w:szCs w:val="32"/>
          <w:lang w:eastAsia="zh-CN"/>
        </w:rPr>
        <w:t>（</w:t>
      </w:r>
      <w:r>
        <w:rPr>
          <w:rStyle w:val="9"/>
          <w:rFonts w:hint="eastAsia" w:ascii="仿宋_GB2312" w:hAnsi="仿宋_GB2312" w:eastAsia="仿宋_GB2312" w:cs="仿宋_GB2312"/>
          <w:sz w:val="32"/>
          <w:szCs w:val="32"/>
        </w:rPr>
        <w:t>一</w:t>
      </w:r>
      <w:r>
        <w:rPr>
          <w:rStyle w:val="9"/>
          <w:rFonts w:hint="eastAsia" w:ascii="仿宋_GB2312" w:hAnsi="仿宋_GB2312" w:eastAsia="仿宋_GB2312" w:cs="仿宋_GB2312"/>
          <w:sz w:val="32"/>
          <w:szCs w:val="32"/>
          <w:lang w:eastAsia="zh-CN"/>
        </w:rPr>
        <w:t>）收入预算情况</w:t>
      </w:r>
      <w:r>
        <w:rPr>
          <w:rStyle w:val="9"/>
          <w:rFonts w:hint="eastAsia" w:ascii="仿宋_GB2312" w:hAnsi="仿宋_GB2312" w:eastAsia="仿宋_GB2312" w:cs="仿宋_GB2312"/>
          <w:sz w:val="32"/>
          <w:szCs w:val="32"/>
        </w:rPr>
        <w:fldChar w:fldCharType="begin" w:fldLock="1"/>
      </w:r>
      <w:r>
        <w:rPr>
          <w:rStyle w:val="9"/>
          <w:rFonts w:hint="eastAsia" w:ascii="仿宋_GB2312" w:hAnsi="仿宋_GB2312" w:eastAsia="仿宋_GB2312" w:cs="仿宋_GB2312"/>
          <w:sz w:val="32"/>
          <w:szCs w:val="32"/>
        </w:rPr>
        <w:instrText xml:space="preserve">HYPERLINK \l "_Toc51762651"</w:instrText>
      </w:r>
      <w:r>
        <w:rPr>
          <w:rStyle w:val="9"/>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ab/>
      </w:r>
      <w:r>
        <w:rPr>
          <w:rStyle w:val="9"/>
          <w:rFonts w:hint="eastAsia" w:ascii="仿宋_GB2312" w:hAnsi="仿宋_GB2312" w:eastAsia="仿宋_GB2312" w:cs="仿宋_GB2312"/>
          <w:sz w:val="32"/>
          <w:szCs w:val="32"/>
          <w:lang w:val="en-US" w:eastAsia="zh-CN"/>
        </w:rPr>
        <w:t>5</w:t>
      </w:r>
      <w:r>
        <w:rPr>
          <w:rStyle w:val="9"/>
          <w:rFonts w:hint="eastAsia" w:ascii="仿宋_GB2312" w:hAnsi="仿宋_GB2312" w:eastAsia="仿宋_GB2312" w:cs="仿宋_GB2312"/>
          <w:sz w:val="32"/>
          <w:szCs w:val="32"/>
        </w:rPr>
        <w:fldChar w:fldCharType="end"/>
      </w:r>
    </w:p>
    <w:p>
      <w:pPr>
        <w:pStyle w:val="7"/>
        <w:spacing w:line="6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"_Toc51762656"</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lang w:eastAsia="zh-CN"/>
        </w:rPr>
        <w:t>（二）支出</w:t>
      </w:r>
      <w:r>
        <w:rPr>
          <w:rStyle w:val="9"/>
          <w:rFonts w:hint="eastAsia" w:ascii="仿宋_GB2312" w:hAnsi="仿宋_GB2312" w:eastAsia="仿宋_GB2312" w:cs="仿宋_GB2312"/>
          <w:sz w:val="32"/>
          <w:szCs w:val="32"/>
        </w:rPr>
        <w:t>预算情况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5</w:t>
      </w:r>
    </w:p>
    <w:p>
      <w:pPr>
        <w:pStyle w:val="6"/>
        <w:spacing w:line="6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"_Toc51762657"</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b/>
          <w:sz w:val="32"/>
          <w:szCs w:val="32"/>
          <w:lang w:eastAsia="zh-CN"/>
        </w:rPr>
        <w:t>四、财政拨款收支预算情况说明</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sz w:val="32"/>
          <w:szCs w:val="32"/>
        </w:rPr>
        <w:fldChar w:fldCharType="end"/>
      </w:r>
    </w:p>
    <w:p>
      <w:pPr>
        <w:pStyle w:val="7"/>
        <w:spacing w:line="600" w:lineRule="exact"/>
        <w:rPr>
          <w:rFonts w:hint="eastAsia" w:ascii="仿宋_GB2312" w:hAnsi="仿宋_GB2312" w:eastAsia="仿宋_GB2312" w:cs="仿宋_GB2312"/>
          <w:sz w:val="32"/>
          <w:szCs w:val="32"/>
        </w:rPr>
      </w:pPr>
      <w:r>
        <w:rPr>
          <w:rStyle w:val="9"/>
          <w:rFonts w:hint="eastAsia" w:ascii="仿宋_GB2312" w:hAnsi="仿宋_GB2312" w:eastAsia="仿宋_GB2312" w:cs="仿宋_GB2312"/>
          <w:sz w:val="32"/>
          <w:szCs w:val="32"/>
          <w:lang w:eastAsia="zh-CN"/>
        </w:rPr>
        <w:t>（</w:t>
      </w:r>
      <w:r>
        <w:rPr>
          <w:rStyle w:val="9"/>
          <w:rFonts w:hint="eastAsia" w:ascii="仿宋_GB2312" w:hAnsi="仿宋_GB2312" w:eastAsia="仿宋_GB2312" w:cs="仿宋_GB2312"/>
          <w:sz w:val="32"/>
          <w:szCs w:val="32"/>
        </w:rPr>
        <w:t>一</w:t>
      </w:r>
      <w:r>
        <w:rPr>
          <w:rStyle w:val="9"/>
          <w:rFonts w:hint="eastAsia" w:ascii="仿宋_GB2312" w:hAnsi="仿宋_GB2312" w:eastAsia="仿宋_GB2312" w:cs="仿宋_GB2312"/>
          <w:sz w:val="32"/>
          <w:szCs w:val="32"/>
          <w:lang w:eastAsia="zh-CN"/>
        </w:rPr>
        <w:t>）一般公共预算当年拨款规模变化情况</w:t>
      </w:r>
      <w:r>
        <w:rPr>
          <w:rStyle w:val="9"/>
          <w:rFonts w:hint="eastAsia" w:ascii="仿宋_GB2312" w:hAnsi="仿宋_GB2312" w:eastAsia="仿宋_GB2312" w:cs="仿宋_GB2312"/>
          <w:sz w:val="32"/>
          <w:szCs w:val="32"/>
        </w:rPr>
        <w:fldChar w:fldCharType="begin" w:fldLock="1"/>
      </w:r>
      <w:r>
        <w:rPr>
          <w:rStyle w:val="9"/>
          <w:rFonts w:hint="eastAsia" w:ascii="仿宋_GB2312" w:hAnsi="仿宋_GB2312" w:eastAsia="仿宋_GB2312" w:cs="仿宋_GB2312"/>
          <w:sz w:val="32"/>
          <w:szCs w:val="32"/>
        </w:rPr>
        <w:instrText xml:space="preserve">HYPERLINK \l "_Toc51762651"</w:instrText>
      </w:r>
      <w:r>
        <w:rPr>
          <w:rStyle w:val="9"/>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ab/>
      </w:r>
      <w:r>
        <w:rPr>
          <w:rStyle w:val="9"/>
          <w:rFonts w:hint="eastAsia" w:ascii="仿宋_GB2312" w:hAnsi="仿宋_GB2312" w:eastAsia="仿宋_GB2312" w:cs="仿宋_GB2312"/>
          <w:sz w:val="32"/>
          <w:szCs w:val="32"/>
          <w:lang w:val="en-US" w:eastAsia="zh-CN"/>
        </w:rPr>
        <w:t>6</w:t>
      </w:r>
      <w:r>
        <w:rPr>
          <w:rStyle w:val="9"/>
          <w:rFonts w:hint="eastAsia" w:ascii="仿宋_GB2312" w:hAnsi="仿宋_GB2312" w:eastAsia="仿宋_GB2312" w:cs="仿宋_GB2312"/>
          <w:sz w:val="32"/>
          <w:szCs w:val="32"/>
        </w:rPr>
        <w:fldChar w:fldCharType="end"/>
      </w:r>
    </w:p>
    <w:p>
      <w:pPr>
        <w:pStyle w:val="7"/>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"_Toc51762656"</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lang w:eastAsia="zh-CN"/>
        </w:rPr>
        <w:t>（二）一般公共预算当年拨款结构情况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6</w:t>
      </w:r>
    </w:p>
    <w:p>
      <w:pPr>
        <w:pStyle w:val="7"/>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"_Toc51762656"</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lang w:eastAsia="zh-CN"/>
        </w:rPr>
        <w:t>（三）一般公共预算当年拨款具体使用情况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6</w:t>
      </w:r>
    </w:p>
    <w:p>
      <w:pPr>
        <w:pStyle w:val="6"/>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"_Toc51762657"</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b/>
          <w:sz w:val="32"/>
          <w:szCs w:val="32"/>
          <w:lang w:eastAsia="zh-CN"/>
        </w:rPr>
        <w:t>六、一般公共预算基本支出情况说明</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sz w:val="32"/>
          <w:szCs w:val="32"/>
        </w:rPr>
        <w:fldChar w:fldCharType="end"/>
      </w:r>
    </w:p>
    <w:p>
      <w:pPr>
        <w:pStyle w:val="6"/>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"_Toc51762657"</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b/>
          <w:sz w:val="32"/>
          <w:szCs w:val="32"/>
          <w:lang w:eastAsia="zh-CN"/>
        </w:rPr>
        <w:t>七、“三公”经费财政拨款预算安排情况说明</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sz w:val="32"/>
          <w:szCs w:val="32"/>
        </w:rPr>
        <w:fldChar w:fldCharType="end"/>
      </w:r>
    </w:p>
    <w:p>
      <w:pPr>
        <w:pStyle w:val="6"/>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"_Toc51762657"</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b/>
          <w:sz w:val="32"/>
          <w:szCs w:val="32"/>
          <w:lang w:eastAsia="zh-CN"/>
        </w:rPr>
        <w:t>八、政府性基金预算支出情况说明</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sz w:val="32"/>
          <w:szCs w:val="32"/>
        </w:rPr>
        <w:fldChar w:fldCharType="end"/>
      </w:r>
    </w:p>
    <w:p>
      <w:pPr>
        <w:pStyle w:val="6"/>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"_Toc51762657"</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b/>
          <w:sz w:val="32"/>
          <w:szCs w:val="32"/>
          <w:lang w:eastAsia="zh-CN"/>
        </w:rPr>
        <w:t>九、国有资本经营预算支出情况说明</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lang w:val="en-US" w:eastAsia="zh-CN"/>
        </w:rPr>
        <w:t>8</w:t>
      </w:r>
      <w:r>
        <w:rPr>
          <w:rFonts w:hint="eastAsia" w:ascii="仿宋_GB2312" w:hAnsi="仿宋_GB2312" w:eastAsia="仿宋_GB2312" w:cs="仿宋_GB2312"/>
          <w:sz w:val="32"/>
          <w:szCs w:val="32"/>
        </w:rPr>
        <w:fldChar w:fldCharType="end"/>
      </w:r>
    </w:p>
    <w:p>
      <w:pPr>
        <w:pStyle w:val="6"/>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"_Toc51762657"</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b/>
          <w:sz w:val="32"/>
          <w:szCs w:val="32"/>
          <w:lang w:eastAsia="zh-CN"/>
        </w:rPr>
        <w:t>十、其他重要事项的情况说明</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lang w:val="en-US" w:eastAsia="zh-CN"/>
        </w:rPr>
        <w:t>8</w:t>
      </w:r>
      <w:r>
        <w:rPr>
          <w:rFonts w:hint="eastAsia" w:ascii="仿宋_GB2312" w:hAnsi="仿宋_GB2312" w:eastAsia="仿宋_GB2312" w:cs="仿宋_GB2312"/>
          <w:sz w:val="32"/>
          <w:szCs w:val="32"/>
        </w:rPr>
        <w:fldChar w:fldCharType="end"/>
      </w:r>
    </w:p>
    <w:p>
      <w:pPr>
        <w:pStyle w:val="7"/>
        <w:spacing w:line="600" w:lineRule="exact"/>
        <w:rPr>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sz w:val="32"/>
          <w:szCs w:val="32"/>
          <w:lang w:eastAsia="zh-CN"/>
        </w:rPr>
        <w:t>（</w:t>
      </w:r>
      <w:r>
        <w:rPr>
          <w:rStyle w:val="9"/>
          <w:rFonts w:hint="eastAsia" w:ascii="仿宋_GB2312" w:hAnsi="仿宋_GB2312" w:eastAsia="仿宋_GB2312" w:cs="仿宋_GB2312"/>
          <w:sz w:val="32"/>
          <w:szCs w:val="32"/>
        </w:rPr>
        <w:t>一</w:t>
      </w:r>
      <w:r>
        <w:rPr>
          <w:rStyle w:val="9"/>
          <w:rFonts w:hint="eastAsia" w:ascii="仿宋_GB2312" w:hAnsi="仿宋_GB2312" w:eastAsia="仿宋_GB2312" w:cs="仿宋_GB2312"/>
          <w:sz w:val="32"/>
          <w:szCs w:val="32"/>
          <w:lang w:eastAsia="zh-CN"/>
        </w:rPr>
        <w:t>）单位运行经费</w:t>
      </w:r>
      <w:r>
        <w:rPr>
          <w:rStyle w:val="9"/>
          <w:rFonts w:hint="eastAsia" w:ascii="仿宋_GB2312" w:hAnsi="仿宋_GB2312" w:eastAsia="仿宋_GB2312" w:cs="仿宋_GB2312"/>
          <w:sz w:val="32"/>
          <w:szCs w:val="32"/>
        </w:rPr>
        <w:fldChar w:fldCharType="begin" w:fldLock="1"/>
      </w:r>
      <w:r>
        <w:rPr>
          <w:rStyle w:val="9"/>
          <w:rFonts w:hint="eastAsia" w:ascii="仿宋_GB2312" w:hAnsi="仿宋_GB2312" w:eastAsia="仿宋_GB2312" w:cs="仿宋_GB2312"/>
          <w:sz w:val="32"/>
          <w:szCs w:val="32"/>
        </w:rPr>
        <w:instrText xml:space="preserve">HYPERLINK \l "_Toc51762651"</w:instrText>
      </w:r>
      <w:r>
        <w:rPr>
          <w:rStyle w:val="9"/>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ab/>
      </w:r>
      <w:r>
        <w:rPr>
          <w:rStyle w:val="9"/>
          <w:rFonts w:hint="eastAsia" w:ascii="仿宋_GB2312" w:hAnsi="仿宋_GB2312" w:eastAsia="仿宋_GB2312" w:cs="仿宋_GB2312"/>
          <w:sz w:val="32"/>
          <w:szCs w:val="32"/>
          <w:lang w:val="en-US" w:eastAsia="zh-CN"/>
        </w:rPr>
        <w:t>8</w:t>
      </w:r>
      <w:r>
        <w:rPr>
          <w:rStyle w:val="9"/>
          <w:rFonts w:hint="eastAsia" w:ascii="仿宋_GB2312" w:hAnsi="仿宋_GB2312" w:eastAsia="仿宋_GB2312" w:cs="仿宋_GB2312"/>
          <w:sz w:val="32"/>
          <w:szCs w:val="32"/>
        </w:rPr>
        <w:fldChar w:fldCharType="end"/>
      </w:r>
    </w:p>
    <w:p>
      <w:pPr>
        <w:pStyle w:val="7"/>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"_Toc51762656"</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lang w:eastAsia="zh-CN"/>
        </w:rPr>
        <w:t>（二）政府采购情况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pStyle w:val="7"/>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"_Toc51762656"</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lang w:eastAsia="zh-CN"/>
        </w:rPr>
        <w:t>（三）国有资产占有使用情况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pStyle w:val="7"/>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"_Toc51762656"</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lang w:eastAsia="zh-CN"/>
        </w:rPr>
        <w:t>（四）绩效目标设置情况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pStyle w:val="6"/>
        <w:spacing w:line="600" w:lineRule="exact"/>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"_Toc51762680"</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b/>
          <w:bCs/>
          <w:kern w:val="44"/>
          <w:sz w:val="32"/>
          <w:szCs w:val="32"/>
          <w:lang w:eastAsia="zh-CN"/>
        </w:rPr>
        <w:t>十一、</w:t>
      </w:r>
      <w:r>
        <w:rPr>
          <w:rStyle w:val="9"/>
          <w:rFonts w:hint="eastAsia" w:ascii="仿宋_GB2312" w:hAnsi="仿宋_GB2312" w:eastAsia="仿宋_GB2312" w:cs="仿宋_GB2312"/>
          <w:b/>
          <w:sz w:val="32"/>
          <w:szCs w:val="32"/>
        </w:rPr>
        <w:t xml:space="preserve"> 名</w:t>
      </w:r>
      <w:r>
        <w:rPr>
          <w:rStyle w:val="9"/>
          <w:rFonts w:hint="eastAsia" w:ascii="仿宋_GB2312" w:hAnsi="仿宋_GB2312" w:eastAsia="仿宋_GB2312" w:cs="仿宋_GB2312"/>
          <w:b/>
          <w:bCs/>
          <w:kern w:val="44"/>
          <w:sz w:val="32"/>
          <w:szCs w:val="32"/>
        </w:rPr>
        <w:t>词解释</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lang w:val="en-US" w:eastAsia="zh-CN"/>
        </w:rPr>
        <w:t>9</w:t>
      </w:r>
      <w:r>
        <w:rPr>
          <w:rFonts w:hint="eastAsia" w:ascii="仿宋_GB2312" w:hAnsi="仿宋_GB2312" w:eastAsia="仿宋_GB2312" w:cs="仿宋_GB2312"/>
          <w:sz w:val="32"/>
          <w:szCs w:val="32"/>
        </w:rPr>
        <w:fldChar w:fldCharType="end"/>
      </w:r>
    </w:p>
    <w:p>
      <w:pPr>
        <w:pStyle w:val="6"/>
        <w:spacing w:line="600" w:lineRule="exact"/>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"_Toc51762681"</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b/>
          <w:bCs/>
          <w:kern w:val="44"/>
          <w:sz w:val="32"/>
          <w:szCs w:val="32"/>
        </w:rPr>
        <w:t>附件</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1</w:t>
      </w:r>
    </w:p>
    <w:p>
      <w:pPr>
        <w:pStyle w:val="7"/>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"_Toc51762683"</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表1.部门收支总表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1</w:t>
      </w:r>
    </w:p>
    <w:p>
      <w:pPr>
        <w:pStyle w:val="7"/>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"_Toc51762684"</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表1-1.部门收入总表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 PAGEREF _Toc51762684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"_Toc51762685"</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表1-2.部门支出总表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 PAGEREF _Toc51762685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"_Toc51762686"</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表2.财政拨款收支预算总表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 PAGEREF _Toc51762686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"_Toc51762687"</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表2-1.财政拨款支出预算表（政府经济分类科目）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 PAGEREF _Toc51762687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"_Toc51762688"</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表3.一般公共预算支出预算表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 PAGEREF _Toc51762688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"_Toc51762689"</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表3-1.一般公共预算基本支出预算表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 PAGEREF _Toc51762689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"_Toc51762690"</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表3-2.一般公共预算项目支出预算表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 PAGEREF _Toc51762690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"_Toc51762691"</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表3-3.一般公共预算“三公”经费支出预算表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1</w:t>
      </w:r>
    </w:p>
    <w:p>
      <w:pPr>
        <w:pStyle w:val="7"/>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"_Toc51762692"</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表4.政府性基金支出预算表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1</w:t>
      </w:r>
    </w:p>
    <w:p>
      <w:pPr>
        <w:pStyle w:val="7"/>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"_Toc51762693"</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表4-1.政府性基金预算“三公”经费支出预算表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1</w:t>
      </w:r>
    </w:p>
    <w:p>
      <w:pPr>
        <w:pStyle w:val="7"/>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"_Toc51762694"</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表5.国有资本经营预算支出预算表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1</w:t>
      </w:r>
    </w:p>
    <w:p>
      <w:pPr>
        <w:pStyle w:val="7"/>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HYPERLINK \l "_Toc51762695"</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表6.部门预算项目绩效目标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1</w:t>
      </w:r>
    </w:p>
    <w:p>
      <w:pPr>
        <w:pStyle w:val="7"/>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表7.部门整体支出绩效目标表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11</w:t>
      </w:r>
    </w:p>
    <w:p>
      <w:pPr>
        <w:spacing w:line="578" w:lineRule="exact"/>
        <w:jc w:val="center"/>
        <w:rPr>
          <w:rFonts w:ascii="Times New Roman" w:hAnsi="Times New Roman" w:eastAsia="方正小标宋简体" w:cs="Times New Roman"/>
          <w:b/>
          <w:bCs/>
          <w:sz w:val="44"/>
          <w:szCs w:val="44"/>
        </w:rPr>
      </w:pPr>
    </w:p>
    <w:p>
      <w:pPr>
        <w:spacing w:line="578" w:lineRule="exact"/>
        <w:jc w:val="center"/>
        <w:rPr>
          <w:rFonts w:ascii="Times New Roman" w:hAnsi="Times New Roman" w:eastAsia="方正小标宋简体" w:cs="Times New Roman"/>
          <w:b/>
          <w:bCs/>
          <w:sz w:val="44"/>
          <w:szCs w:val="44"/>
        </w:rPr>
      </w:pPr>
    </w:p>
    <w:p>
      <w:pPr>
        <w:spacing w:line="578" w:lineRule="exact"/>
        <w:jc w:val="center"/>
        <w:rPr>
          <w:rFonts w:ascii="Times New Roman" w:hAnsi="Times New Roman" w:eastAsia="方正小标宋简体" w:cs="Times New Roman"/>
          <w:b/>
          <w:bCs/>
          <w:sz w:val="44"/>
          <w:szCs w:val="44"/>
        </w:rPr>
      </w:pPr>
    </w:p>
    <w:p>
      <w:pPr>
        <w:pStyle w:val="2"/>
        <w:ind w:left="0" w:leftChars="0" w:firstLine="0" w:firstLineChars="0"/>
        <w:rPr>
          <w:rFonts w:hint="eastAsia" w:eastAsia="宋体"/>
          <w:lang w:val="en-US" w:eastAsia="zh-CN"/>
        </w:rPr>
      </w:pPr>
    </w:p>
    <w:p>
      <w:pPr>
        <w:rPr>
          <w:rFonts w:hint="eastAsia" w:eastAsia="宋体"/>
          <w:lang w:val="en-US" w:eastAsia="zh-CN"/>
        </w:rPr>
      </w:pPr>
    </w:p>
    <w:p>
      <w:pPr>
        <w:pStyle w:val="2"/>
        <w:rPr>
          <w:rFonts w:hint="eastAsia" w:eastAsia="宋体"/>
          <w:lang w:val="en-US" w:eastAsia="zh-CN"/>
        </w:rPr>
      </w:pPr>
    </w:p>
    <w:p>
      <w:pPr>
        <w:rPr>
          <w:rFonts w:hint="eastAsia" w:eastAsia="宋体"/>
          <w:lang w:val="en-US" w:eastAsia="zh-CN"/>
        </w:rPr>
      </w:pPr>
    </w:p>
    <w:p>
      <w:pPr>
        <w:spacing w:line="578" w:lineRule="exact"/>
        <w:jc w:val="both"/>
        <w:rPr>
          <w:rFonts w:ascii="Times New Roman" w:hAnsi="Times New Roman" w:eastAsia="方正小标宋简体" w:cs="Times New Roman"/>
          <w:b/>
          <w:bCs/>
          <w:sz w:val="44"/>
          <w:szCs w:val="44"/>
        </w:rPr>
      </w:pPr>
    </w:p>
    <w:p>
      <w:pPr>
        <w:spacing w:line="578" w:lineRule="exact"/>
        <w:jc w:val="center"/>
        <w:rPr>
          <w:rFonts w:ascii="Times New Roman" w:hAnsi="Times New Roman" w:eastAsia="方正小标宋简体" w:cs="Times New Roman"/>
          <w:b/>
          <w:bCs/>
          <w:sz w:val="44"/>
          <w:szCs w:val="44"/>
        </w:rPr>
      </w:pPr>
      <w:r>
        <w:rPr>
          <w:rFonts w:ascii="Times New Roman" w:hAnsi="Times New Roman" w:eastAsia="方正小标宋简体" w:cs="Times New Roman"/>
          <w:b/>
          <w:bCs/>
          <w:sz w:val="44"/>
          <w:szCs w:val="44"/>
        </w:rPr>
        <w:t>202</w:t>
      </w:r>
      <w:r>
        <w:rPr>
          <w:rFonts w:hint="eastAsia" w:ascii="Times New Roman" w:hAnsi="Times New Roman" w:eastAsia="方正小标宋简体" w:cs="Times New Roman"/>
          <w:b/>
          <w:bCs/>
          <w:sz w:val="44"/>
          <w:szCs w:val="44"/>
          <w:lang w:val="en-US" w:eastAsia="zh-CN"/>
        </w:rPr>
        <w:t>3</w:t>
      </w:r>
      <w:r>
        <w:rPr>
          <w:rFonts w:ascii="Times New Roman" w:hAnsi="Times New Roman" w:eastAsia="方正小标宋简体" w:cs="Times New Roman"/>
          <w:b/>
          <w:bCs/>
          <w:sz w:val="44"/>
          <w:szCs w:val="44"/>
        </w:rPr>
        <w:t>年</w:t>
      </w:r>
      <w:r>
        <w:rPr>
          <w:rFonts w:hint="eastAsia" w:ascii="Times New Roman" w:hAnsi="Times New Roman" w:eastAsia="方正小标宋简体" w:cs="Times New Roman"/>
          <w:b/>
          <w:bCs/>
          <w:sz w:val="44"/>
          <w:szCs w:val="44"/>
        </w:rPr>
        <w:t>度</w:t>
      </w:r>
      <w:r>
        <w:rPr>
          <w:rFonts w:ascii="Times New Roman" w:hAnsi="Times New Roman" w:eastAsia="方正小标宋简体" w:cs="Times New Roman"/>
          <w:b/>
          <w:bCs/>
          <w:sz w:val="44"/>
          <w:szCs w:val="44"/>
        </w:rPr>
        <w:t>泸州市残疾人康复服务中心</w:t>
      </w:r>
    </w:p>
    <w:p>
      <w:pPr>
        <w:spacing w:line="578" w:lineRule="exact"/>
        <w:jc w:val="center"/>
        <w:rPr>
          <w:rFonts w:ascii="Times New Roman" w:hAnsi="Times New Roman" w:eastAsia="方正小标宋简体" w:cs="Times New Roman"/>
          <w:b/>
          <w:bCs/>
          <w:sz w:val="44"/>
          <w:szCs w:val="44"/>
        </w:rPr>
      </w:pPr>
      <w:r>
        <w:rPr>
          <w:rFonts w:ascii="Times New Roman" w:hAnsi="Times New Roman" w:eastAsia="方正小标宋简体" w:cs="Times New Roman"/>
          <w:b/>
          <w:bCs/>
          <w:sz w:val="44"/>
          <w:szCs w:val="44"/>
        </w:rPr>
        <w:t>部门预算编制的说明</w:t>
      </w:r>
      <w:r>
        <w:rPr>
          <w:rFonts w:ascii="Times New Roman" w:hAnsi="Times New Roman" w:eastAsia="方正小标宋简体" w:cs="Times New Roman"/>
          <w:b/>
          <w:bCs/>
          <w:sz w:val="44"/>
          <w:szCs w:val="44"/>
        </w:rPr>
        <w:br w:type="textWrapping"/>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一、</w:t>
      </w:r>
      <w:r>
        <w:rPr>
          <w:rFonts w:ascii="黑体" w:hAnsi="黑体" w:eastAsia="黑体" w:cs="Times New Roman"/>
          <w:b/>
          <w:bCs/>
          <w:sz w:val="32"/>
          <w:szCs w:val="32"/>
        </w:rPr>
        <w:t>基本职能及主要工作</w:t>
      </w:r>
    </w:p>
    <w:p>
      <w:pPr>
        <w:spacing w:line="580" w:lineRule="exact"/>
        <w:ind w:firstLine="640" w:firstLineChars="200"/>
        <w:rPr>
          <w:rFonts w:hint="eastAsia" w:ascii="楷体_GB2312" w:hAnsi="楷体_GB2312" w:eastAsia="楷体_GB2312" w:cs="楷体_GB2312"/>
          <w:color w:val="000000" w:themeColor="text1"/>
          <w:sz w:val="32"/>
          <w:szCs w:val="32"/>
        </w:rPr>
      </w:pPr>
      <w:r>
        <w:rPr>
          <w:rFonts w:ascii="Times New Roman" w:hAnsi="Times New Roman" w:eastAsia="楷体_GB2312" w:cs="Times New Roman"/>
          <w:b/>
          <w:bCs/>
          <w:sz w:val="32"/>
          <w:szCs w:val="32"/>
        </w:rPr>
        <w:t>（一）</w:t>
      </w:r>
      <w:r>
        <w:rPr>
          <w:rFonts w:hint="eastAsia" w:ascii="楷体_GB2312" w:hAnsi="楷体_GB2312" w:eastAsia="楷体_GB2312" w:cs="楷体_GB2312"/>
          <w:b/>
          <w:bCs/>
          <w:sz w:val="32"/>
          <w:szCs w:val="32"/>
        </w:rPr>
        <w:t>基本职能</w:t>
      </w:r>
    </w:p>
    <w:p>
      <w:pPr>
        <w:spacing w:line="580" w:lineRule="exact"/>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泸州市残疾人康复服务中心是为全市残疾人提供康复服务的综合性机构和技术资源中心。其职能职责是：开展残疾人康复、教育、科研工作，培训基层康复技术骨干；宣传普及康复和残疾预防知识；承担残疾人假肢、矫形器等用品用具组织管理、供应、维修工作；负责残疾人社区康复及外援康复项目工作；指导残疾人开展文化、体育、娱乐活动并提供服务；指导基层残疾人康复机构工作。泸州市残疾人康复服务中心是市残联下属公益一类事业单位，无内设机构。</w:t>
      </w:r>
    </w:p>
    <w:p>
      <w:pPr>
        <w:spacing w:line="580" w:lineRule="exact"/>
        <w:ind w:left="53" w:leftChars="25" w:firstLine="640"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（二）主要工作</w:t>
      </w:r>
    </w:p>
    <w:p>
      <w:pPr>
        <w:spacing w:line="580" w:lineRule="exact"/>
        <w:ind w:left="53" w:leftChars="25"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泸州市残疾人康复服务中心2023年重点工作，</w:t>
      </w:r>
      <w:r>
        <w:rPr>
          <w:rFonts w:hint="eastAsia" w:ascii="仿宋_GB2312" w:eastAsia="仿宋_GB2312"/>
          <w:sz w:val="32"/>
          <w:szCs w:val="32"/>
        </w:rPr>
        <w:t>紧紧围绕“深入推进‘量体裁衣’式个性化服务、为残疾人谋幸福”这个中心任务，加大残疾人康复投入，开展残疾人康复、教育、科研工作，培训基层骨干，指导基层残疾人康复机构工作，指导残疾人开展文化、体育、娱乐活动等，保证工作正常开展，提升康复服务能力更好地服务残疾人，让残疾人更快融入社会，让社会满意；对</w:t>
      </w:r>
      <w:r>
        <w:rPr>
          <w:rFonts w:hint="eastAsia" w:ascii="仿宋_GB2312" w:eastAsia="仿宋_GB2312"/>
          <w:sz w:val="32"/>
          <w:szCs w:val="32"/>
          <w:lang w:val="en-US" w:eastAsia="zh-CN"/>
        </w:rPr>
        <w:t>225</w:t>
      </w:r>
      <w:r>
        <w:rPr>
          <w:rFonts w:hint="eastAsia" w:ascii="仿宋_GB2312" w:eastAsia="仿宋_GB2312"/>
          <w:sz w:val="32"/>
          <w:szCs w:val="32"/>
        </w:rPr>
        <w:t xml:space="preserve">名残疾儿童进行康复训练，通过训练提高他们的协调、认知、感统、日常生活技能等能力，帮助他们逐步融入社会。            </w:t>
      </w:r>
    </w:p>
    <w:p>
      <w:pPr>
        <w:pStyle w:val="3"/>
        <w:adjustRightInd w:val="0"/>
        <w:spacing w:before="93" w:line="580" w:lineRule="exact"/>
        <w:ind w:firstLine="643" w:firstLineChars="200"/>
        <w:rPr>
          <w:rFonts w:ascii="黑体" w:hAnsi="黑体" w:eastAsia="黑体" w:cs="Times New Roman"/>
          <w:b/>
          <w:bCs/>
          <w:sz w:val="32"/>
          <w:szCs w:val="32"/>
        </w:rPr>
      </w:pPr>
      <w:r>
        <w:rPr>
          <w:rFonts w:ascii="黑体" w:hAnsi="黑体" w:eastAsia="黑体" w:cs="Times New Roman"/>
          <w:b/>
          <w:bCs/>
          <w:sz w:val="32"/>
          <w:szCs w:val="32"/>
        </w:rPr>
        <w:t>二、部门预算单位构成</w:t>
      </w:r>
    </w:p>
    <w:p>
      <w:pPr>
        <w:spacing w:line="58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s="Times New Roman"/>
          <w:color w:val="000000" w:themeColor="text1"/>
          <w:sz w:val="32"/>
          <w:szCs w:val="32"/>
        </w:rPr>
        <w:t>泸州市残疾人康复服务中心</w:t>
      </w:r>
      <w:r>
        <w:rPr>
          <w:rFonts w:hint="eastAsia" w:ascii="仿宋_GB2312" w:hAnsi="Times New Roman" w:eastAsia="仿宋_GB2312" w:cs="Times New Roman"/>
          <w:color w:val="000000"/>
          <w:sz w:val="32"/>
          <w:szCs w:val="32"/>
        </w:rPr>
        <w:t>下属</w:t>
      </w:r>
      <w:r>
        <w:rPr>
          <w:rFonts w:hint="eastAsia" w:ascii="仿宋_GB2312" w:hAnsi="Times New Roman" w:eastAsia="仿宋_GB2312"/>
          <w:color w:val="000000"/>
          <w:sz w:val="32"/>
          <w:szCs w:val="32"/>
        </w:rPr>
        <w:t>无</w:t>
      </w:r>
      <w:r>
        <w:rPr>
          <w:rFonts w:hint="eastAsia" w:ascii="仿宋_GB2312" w:hAnsi="Times New Roman" w:eastAsia="仿宋_GB2312" w:cs="Times New Roman"/>
          <w:color w:val="000000"/>
          <w:sz w:val="32"/>
          <w:szCs w:val="32"/>
        </w:rPr>
        <w:t>二级预算单位。</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三、收支预算情况说明</w:t>
      </w:r>
    </w:p>
    <w:p>
      <w:pPr>
        <w:pStyle w:val="17"/>
        <w:widowControl w:val="0"/>
        <w:spacing w:before="0" w:line="580" w:lineRule="exact"/>
        <w:ind w:firstLine="675"/>
        <w:rPr>
          <w:rStyle w:val="15"/>
          <w:rFonts w:hAnsi="Times New Roman"/>
          <w:sz w:val="32"/>
          <w:szCs w:val="32"/>
        </w:rPr>
      </w:pPr>
      <w:r>
        <w:rPr>
          <w:rFonts w:hint="eastAsia" w:hAnsi="Times New Roman"/>
          <w:sz w:val="32"/>
          <w:szCs w:val="32"/>
        </w:rPr>
        <w:t>按照综合预算的原则，泸州市残疾人康复服务中心所有收入和支出均纳入单位预算管理。收入包括：一般公共预算拨款收入；支出包括：社会保障和就业支出、卫生健康支出、住房保障支出。泸州市残疾人康复服务中心2023年收支预算总数1190.07万元，比2022年收支预算总数增加140.26万元，主要原因是</w:t>
      </w:r>
      <w:r>
        <w:rPr>
          <w:rStyle w:val="15"/>
          <w:rFonts w:hint="eastAsia" w:hAnsi="Times New Roman"/>
          <w:sz w:val="32"/>
          <w:szCs w:val="32"/>
        </w:rPr>
        <w:t>增加了励志文化广场提升改造项目。</w:t>
      </w:r>
    </w:p>
    <w:p>
      <w:pPr>
        <w:pStyle w:val="3"/>
        <w:adjustRightInd w:val="0"/>
        <w:spacing w:before="93" w:line="580" w:lineRule="exact"/>
        <w:ind w:firstLine="675" w:firstLineChars="21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（一）收入预算情况</w:t>
      </w:r>
    </w:p>
    <w:p>
      <w:pPr>
        <w:pStyle w:val="3"/>
        <w:adjustRightInd w:val="0"/>
        <w:spacing w:before="93" w:line="580" w:lineRule="exact"/>
        <w:ind w:firstLine="672" w:firstLineChars="210"/>
        <w:rPr>
          <w:rFonts w:hAnsi="Times New Roman" w:cs="Times New Roman"/>
          <w:sz w:val="32"/>
          <w:szCs w:val="32"/>
        </w:rPr>
      </w:pPr>
      <w:r>
        <w:rPr>
          <w:rFonts w:hint="eastAsia" w:hAnsi="Times New Roman" w:cs="Times New Roman"/>
          <w:sz w:val="32"/>
          <w:szCs w:val="32"/>
        </w:rPr>
        <w:t>泸州市残疾人康复服务中心2023年收入预算1190.07万元，其中：上年结转0万元，占0%；一般公共预算拨款收入1190.07万元，占100%。</w:t>
      </w:r>
    </w:p>
    <w:p>
      <w:pPr>
        <w:pStyle w:val="3"/>
        <w:adjustRightInd w:val="0"/>
        <w:spacing w:before="93" w:line="580" w:lineRule="exact"/>
        <w:ind w:firstLine="675" w:firstLineChars="21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（二）支出预算情况</w:t>
      </w:r>
    </w:p>
    <w:p>
      <w:pPr>
        <w:pStyle w:val="3"/>
        <w:adjustRightInd w:val="0"/>
        <w:spacing w:before="93" w:line="580" w:lineRule="exact"/>
        <w:ind w:firstLine="672" w:firstLineChars="210"/>
        <w:rPr>
          <w:rFonts w:hAnsi="Times New Roman" w:cs="Times New Roman"/>
          <w:sz w:val="32"/>
          <w:szCs w:val="32"/>
        </w:rPr>
      </w:pPr>
      <w:r>
        <w:rPr>
          <w:rFonts w:hint="eastAsia" w:hAnsi="Times New Roman" w:cs="Times New Roman"/>
          <w:sz w:val="32"/>
          <w:szCs w:val="32"/>
        </w:rPr>
        <w:t>泸州市残疾人康复服务中心2023年支出预算1190.07万元，其中：基本支出218.07万元，占18.32%；项目支出972万元，占81.68%。</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四、财政拨款收支预算情况说明</w:t>
      </w:r>
    </w:p>
    <w:p>
      <w:pPr>
        <w:pStyle w:val="17"/>
        <w:widowControl w:val="0"/>
        <w:spacing w:before="0" w:line="580" w:lineRule="exact"/>
        <w:ind w:firstLine="675"/>
        <w:rPr>
          <w:rStyle w:val="15"/>
          <w:rFonts w:hint="eastAsia" w:hAnsi="Times New Roman"/>
          <w:sz w:val="32"/>
          <w:szCs w:val="32"/>
        </w:rPr>
      </w:pPr>
      <w:r>
        <w:rPr>
          <w:rFonts w:hint="eastAsia" w:hAnsi="Times New Roman"/>
          <w:sz w:val="32"/>
          <w:szCs w:val="32"/>
        </w:rPr>
        <w:t>泸州市残疾人康复服务中心2023年财政拨款收支总预算1190.07万元，比2022年财政拨款收支总预算增加140.26万元，主要原因是</w:t>
      </w:r>
      <w:r>
        <w:rPr>
          <w:rStyle w:val="15"/>
          <w:rFonts w:hint="eastAsia" w:hAnsi="Times New Roman"/>
          <w:sz w:val="32"/>
          <w:szCs w:val="32"/>
        </w:rPr>
        <w:t>增加了励志文化广场提升改造项目。</w:t>
      </w:r>
    </w:p>
    <w:p>
      <w:pPr>
        <w:pStyle w:val="17"/>
        <w:widowControl w:val="0"/>
        <w:spacing w:before="0" w:line="580" w:lineRule="exact"/>
        <w:ind w:firstLine="675"/>
        <w:rPr>
          <w:rFonts w:hAnsi="Times New Roman"/>
          <w:sz w:val="32"/>
          <w:szCs w:val="32"/>
        </w:rPr>
      </w:pPr>
      <w:r>
        <w:rPr>
          <w:rFonts w:hint="eastAsia" w:hAnsi="Times New Roman"/>
          <w:sz w:val="32"/>
          <w:szCs w:val="32"/>
        </w:rPr>
        <w:t>收入包括：本年一般公共预算拨款收入1190.07万元；支出包括：社会保障和就业支出1163.44万元、卫生健康支出</w:t>
      </w:r>
      <w:r>
        <w:rPr>
          <w:rFonts w:hAnsi="Times New Roman"/>
          <w:sz w:val="32"/>
          <w:szCs w:val="32"/>
        </w:rPr>
        <w:t>11.99</w:t>
      </w:r>
      <w:r>
        <w:rPr>
          <w:rFonts w:hint="eastAsia" w:hAnsi="Times New Roman"/>
          <w:sz w:val="32"/>
          <w:szCs w:val="32"/>
        </w:rPr>
        <w:t>万元、住房保障支出</w:t>
      </w:r>
      <w:r>
        <w:rPr>
          <w:rFonts w:hAnsi="Times New Roman"/>
          <w:sz w:val="32"/>
          <w:szCs w:val="32"/>
        </w:rPr>
        <w:t>14.64</w:t>
      </w:r>
      <w:r>
        <w:rPr>
          <w:rFonts w:hint="eastAsia" w:hAnsi="Times New Roman"/>
          <w:sz w:val="32"/>
          <w:szCs w:val="32"/>
        </w:rPr>
        <w:t>万元。</w:t>
      </w:r>
    </w:p>
    <w:p>
      <w:pPr>
        <w:pStyle w:val="3"/>
        <w:adjustRightInd w:val="0"/>
        <w:spacing w:before="93" w:line="580" w:lineRule="exact"/>
        <w:ind w:firstLine="672" w:firstLineChars="210"/>
        <w:rPr>
          <w:rFonts w:ascii="Times New Roman" w:hAnsi="Times New Roman" w:cs="Times New Roman"/>
          <w:sz w:val="32"/>
          <w:szCs w:val="32"/>
        </w:rPr>
      </w:pPr>
      <w:r>
        <w:rPr>
          <w:rFonts w:ascii="Times New Roman" w:hAnsi="Times New Roman" w:eastAsia="黑体" w:cs="Times New Roman"/>
          <w:sz w:val="32"/>
          <w:szCs w:val="32"/>
        </w:rPr>
        <w:t>五、一般公共预算当年拨款情况说明</w:t>
      </w:r>
    </w:p>
    <w:p>
      <w:pPr>
        <w:pStyle w:val="3"/>
        <w:adjustRightInd w:val="0"/>
        <w:spacing w:before="93" w:line="580" w:lineRule="exact"/>
        <w:ind w:firstLine="675" w:firstLineChars="21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（一）一般公共预算当年拨款规模变化情况</w:t>
      </w:r>
    </w:p>
    <w:p>
      <w:pPr>
        <w:pStyle w:val="17"/>
        <w:widowControl w:val="0"/>
        <w:spacing w:before="0" w:line="580" w:lineRule="exact"/>
        <w:ind w:firstLine="675"/>
        <w:rPr>
          <w:rFonts w:hAnsi="Times New Roman"/>
          <w:sz w:val="32"/>
          <w:szCs w:val="32"/>
        </w:rPr>
      </w:pPr>
      <w:r>
        <w:rPr>
          <w:rFonts w:hint="eastAsia" w:hAnsi="Times New Roman"/>
          <w:sz w:val="32"/>
          <w:szCs w:val="32"/>
        </w:rPr>
        <w:t>泸州市残疾人康复服务中心2023年一般公共预算当年拨款1190.07万元，比2022年预算数增加140.26万元，主要原因是</w:t>
      </w:r>
      <w:r>
        <w:rPr>
          <w:rStyle w:val="15"/>
          <w:rFonts w:hint="eastAsia" w:hAnsi="Times New Roman"/>
          <w:sz w:val="32"/>
          <w:szCs w:val="32"/>
        </w:rPr>
        <w:t>增加了励志文化广场提升改造项目。</w:t>
      </w:r>
    </w:p>
    <w:p>
      <w:pPr>
        <w:pStyle w:val="17"/>
        <w:widowControl w:val="0"/>
        <w:spacing w:before="0" w:line="580" w:lineRule="exact"/>
        <w:ind w:firstLine="675"/>
        <w:rPr>
          <w:rFonts w:ascii="Times New Roman" w:hAnsi="Times New Roman" w:eastAsia="楷体_GB2312"/>
          <w:b/>
          <w:bCs/>
          <w:sz w:val="32"/>
          <w:szCs w:val="32"/>
        </w:rPr>
      </w:pPr>
      <w:r>
        <w:rPr>
          <w:rFonts w:ascii="Times New Roman" w:hAnsi="Times New Roman" w:eastAsia="楷体_GB2312"/>
          <w:b/>
          <w:bCs/>
          <w:sz w:val="32"/>
          <w:szCs w:val="32"/>
        </w:rPr>
        <w:t>（二）一般公共预算当年拨款结构情况</w:t>
      </w:r>
    </w:p>
    <w:p>
      <w:pPr>
        <w:pStyle w:val="3"/>
        <w:adjustRightInd w:val="0"/>
        <w:spacing w:before="93" w:line="580" w:lineRule="exact"/>
        <w:ind w:firstLine="672" w:firstLineChars="210"/>
        <w:rPr>
          <w:rFonts w:hAnsi="Times New Roman" w:cs="Times New Roman"/>
          <w:sz w:val="32"/>
          <w:szCs w:val="32"/>
        </w:rPr>
      </w:pPr>
      <w:r>
        <w:rPr>
          <w:rFonts w:hint="eastAsia" w:hAnsi="Times New Roman" w:cs="Times New Roman"/>
          <w:sz w:val="32"/>
          <w:szCs w:val="32"/>
        </w:rPr>
        <w:t>社会保障和就业支出</w:t>
      </w:r>
      <w:r>
        <w:rPr>
          <w:rFonts w:hAnsi="Times New Roman" w:cs="Times New Roman"/>
          <w:sz w:val="32"/>
          <w:szCs w:val="32"/>
        </w:rPr>
        <w:t>1163.44</w:t>
      </w:r>
      <w:r>
        <w:rPr>
          <w:rFonts w:hint="eastAsia" w:hAnsi="Times New Roman" w:cs="Times New Roman"/>
          <w:sz w:val="32"/>
          <w:szCs w:val="32"/>
        </w:rPr>
        <w:t>万元，占97.76%、卫生健康支出</w:t>
      </w:r>
      <w:r>
        <w:rPr>
          <w:rFonts w:hAnsi="Times New Roman" w:cs="Times New Roman"/>
          <w:sz w:val="32"/>
          <w:szCs w:val="32"/>
        </w:rPr>
        <w:t>11.99</w:t>
      </w:r>
      <w:r>
        <w:rPr>
          <w:rFonts w:hint="eastAsia" w:hAnsi="Times New Roman" w:cs="Times New Roman"/>
          <w:sz w:val="32"/>
          <w:szCs w:val="32"/>
        </w:rPr>
        <w:t>万元，占1.03%、住房保障支出</w:t>
      </w:r>
      <w:r>
        <w:rPr>
          <w:rFonts w:hAnsi="Times New Roman" w:cs="Times New Roman"/>
          <w:sz w:val="32"/>
          <w:szCs w:val="32"/>
        </w:rPr>
        <w:t>14.64</w:t>
      </w:r>
      <w:r>
        <w:rPr>
          <w:rFonts w:hint="eastAsia" w:hAnsi="Times New Roman" w:cs="Times New Roman"/>
          <w:sz w:val="32"/>
          <w:szCs w:val="32"/>
        </w:rPr>
        <w:t>万元，占1.21%。</w:t>
      </w:r>
    </w:p>
    <w:p>
      <w:pPr>
        <w:pStyle w:val="3"/>
        <w:adjustRightInd w:val="0"/>
        <w:spacing w:before="93" w:line="580" w:lineRule="exact"/>
        <w:ind w:firstLine="675" w:firstLineChars="21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（三）一般公共预算当年拨款具体使用情况</w:t>
      </w:r>
    </w:p>
    <w:p>
      <w:pPr>
        <w:spacing w:line="580" w:lineRule="exact"/>
        <w:ind w:firstLine="640" w:firstLineChars="2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社会保障和就业支出</w:t>
      </w:r>
      <w:r>
        <w:rPr>
          <w:rFonts w:ascii="仿宋_GB2312" w:hAnsi="Times New Roman" w:eastAsia="仿宋_GB2312" w:cs="Times New Roman"/>
          <w:sz w:val="32"/>
          <w:szCs w:val="32"/>
        </w:rPr>
        <w:t>1163.44</w:t>
      </w:r>
      <w:r>
        <w:rPr>
          <w:rFonts w:hint="eastAsia" w:ascii="仿宋_GB2312" w:hAnsi="Times New Roman" w:eastAsia="仿宋_GB2312" w:cs="Times New Roman"/>
          <w:color w:val="000000"/>
          <w:sz w:val="32"/>
          <w:szCs w:val="32"/>
        </w:rPr>
        <w:t>万元。主要用于基本工资、津贴补贴、机关事业单位基本养老保险缴费等人员经费；残疾人康复等项目支出。</w:t>
      </w:r>
    </w:p>
    <w:p>
      <w:pPr>
        <w:spacing w:line="580" w:lineRule="exact"/>
        <w:ind w:firstLine="640" w:firstLineChars="200"/>
        <w:rPr>
          <w:rFonts w:ascii="仿宋_GB2312" w:hAnsi="Times New Roman" w:eastAsia="仿宋_GB2312" w:cs="Times New Roman"/>
          <w:sz w:val="32"/>
          <w:szCs w:val="32"/>
        </w:rPr>
      </w:pPr>
      <w:r>
        <w:rPr>
          <w:rFonts w:hint="eastAsia" w:ascii="仿宋_GB2312" w:hAnsi="方正仿宋简体" w:eastAsia="仿宋_GB2312" w:cs="Times New Roman"/>
          <w:sz w:val="32"/>
          <w:szCs w:val="32"/>
        </w:rPr>
        <w:t>卫生健康支出</w:t>
      </w:r>
      <w:r>
        <w:rPr>
          <w:rFonts w:ascii="仿宋_GB2312" w:hAnsi="Times New Roman" w:eastAsia="仿宋_GB2312" w:cs="Times New Roman"/>
          <w:sz w:val="32"/>
          <w:szCs w:val="32"/>
        </w:rPr>
        <w:t>11.99</w:t>
      </w:r>
      <w:r>
        <w:rPr>
          <w:rFonts w:hint="eastAsia" w:ascii="仿宋_GB2312" w:hAnsi="方正仿宋简体" w:eastAsia="仿宋_GB2312" w:cs="Times New Roman"/>
          <w:sz w:val="32"/>
          <w:szCs w:val="32"/>
        </w:rPr>
        <w:t>万元。主要用于职工基本医疗保险缴费和公务员医疗补助缴费。</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住房保障支出</w:t>
      </w:r>
      <w:r>
        <w:rPr>
          <w:rFonts w:ascii="仿宋_GB2312" w:hAnsi="Times New Roman" w:eastAsia="仿宋_GB2312" w:cs="Times New Roman"/>
          <w:sz w:val="32"/>
          <w:szCs w:val="32"/>
        </w:rPr>
        <w:t>14.64</w:t>
      </w:r>
      <w:r>
        <w:rPr>
          <w:rFonts w:hint="eastAsia" w:ascii="仿宋_GB2312" w:hAnsi="Times New Roman" w:eastAsia="仿宋_GB2312" w:cs="Times New Roman"/>
          <w:sz w:val="32"/>
          <w:szCs w:val="32"/>
        </w:rPr>
        <w:t>万元。主要用于职工住房公积金缴费。</w:t>
      </w:r>
    </w:p>
    <w:p>
      <w:pPr>
        <w:pStyle w:val="3"/>
        <w:adjustRightInd w:val="0"/>
        <w:spacing w:before="93" w:line="580" w:lineRule="exact"/>
        <w:ind w:firstLine="675" w:firstLineChars="210"/>
        <w:rPr>
          <w:rFonts w:ascii="黑体" w:hAnsi="黑体" w:eastAsia="黑体" w:cs="Times New Roman"/>
          <w:b/>
          <w:bCs/>
          <w:color w:val="000000"/>
          <w:sz w:val="32"/>
          <w:szCs w:val="32"/>
        </w:rPr>
      </w:pPr>
      <w:r>
        <w:rPr>
          <w:rFonts w:ascii="黑体" w:hAnsi="黑体" w:eastAsia="黑体" w:cs="Times New Roman"/>
          <w:b/>
          <w:bCs/>
          <w:color w:val="000000"/>
          <w:sz w:val="32"/>
          <w:szCs w:val="32"/>
        </w:rPr>
        <w:t>六</w:t>
      </w:r>
      <w:r>
        <w:rPr>
          <w:rFonts w:ascii="黑体" w:hAnsi="黑体" w:eastAsia="黑体" w:cs="Times New Roman"/>
          <w:b/>
          <w:sz w:val="32"/>
          <w:szCs w:val="32"/>
        </w:rPr>
        <w:t>、一般公</w:t>
      </w:r>
      <w:r>
        <w:rPr>
          <w:rFonts w:ascii="黑体" w:hAnsi="黑体" w:eastAsia="黑体" w:cs="Times New Roman"/>
          <w:sz w:val="32"/>
          <w:szCs w:val="32"/>
        </w:rPr>
        <w:t>共预算基本支出情况说明</w:t>
      </w:r>
    </w:p>
    <w:p>
      <w:pPr>
        <w:pStyle w:val="3"/>
        <w:adjustRightInd w:val="0"/>
        <w:spacing w:before="93" w:line="580" w:lineRule="exact"/>
        <w:ind w:firstLine="672" w:firstLineChars="210"/>
        <w:rPr>
          <w:rFonts w:hAnsi="Times New Roman" w:cs="Times New Roman"/>
          <w:sz w:val="32"/>
          <w:szCs w:val="32"/>
        </w:rPr>
      </w:pPr>
      <w:r>
        <w:rPr>
          <w:rFonts w:hint="eastAsia" w:hAnsi="Times New Roman" w:cs="Times New Roman"/>
          <w:sz w:val="32"/>
          <w:szCs w:val="32"/>
        </w:rPr>
        <w:t>泸州市残疾人康复服务中心2023年一般公共预算基本支出218.07万元，其中：</w:t>
      </w:r>
    </w:p>
    <w:p>
      <w:pPr>
        <w:pStyle w:val="3"/>
        <w:adjustRightInd w:val="0"/>
        <w:spacing w:before="93" w:line="580" w:lineRule="exact"/>
        <w:ind w:firstLine="672" w:firstLineChars="210"/>
        <w:rPr>
          <w:rFonts w:hAnsi="Times New Roman" w:cs="Times New Roman"/>
          <w:sz w:val="32"/>
          <w:szCs w:val="32"/>
        </w:rPr>
      </w:pPr>
      <w:r>
        <w:rPr>
          <w:rFonts w:hint="eastAsia" w:hAnsi="Times New Roman" w:cs="Times New Roman"/>
          <w:sz w:val="32"/>
          <w:szCs w:val="32"/>
        </w:rPr>
        <w:t>人员经费178.93万元，</w:t>
      </w:r>
      <w:r>
        <w:rPr>
          <w:rFonts w:hint="eastAsia" w:hAnsi="Times New Roman" w:cs="Times New Roman"/>
          <w:color w:val="000000" w:themeColor="text1"/>
          <w:sz w:val="32"/>
          <w:szCs w:val="32"/>
        </w:rPr>
        <w:t>主要包括：基本工资、津贴补贴、奖金、社会保险缴费、绩效工资、机关事业单位基本养老保险缴费、职业年金缴费、其他工资福利支出、住房公积金、其他对个人和家庭的补助支出。</w:t>
      </w:r>
    </w:p>
    <w:p>
      <w:pPr>
        <w:pStyle w:val="3"/>
        <w:adjustRightInd w:val="0"/>
        <w:spacing w:before="93" w:line="580" w:lineRule="exact"/>
        <w:ind w:firstLine="672" w:firstLineChars="210"/>
        <w:rPr>
          <w:rFonts w:hAnsi="Times New Roman" w:cs="Times New Roman"/>
          <w:sz w:val="32"/>
          <w:szCs w:val="32"/>
        </w:rPr>
      </w:pPr>
      <w:r>
        <w:rPr>
          <w:rFonts w:hint="eastAsia" w:hAnsi="Times New Roman" w:cs="Times New Roman"/>
          <w:sz w:val="32"/>
          <w:szCs w:val="32"/>
        </w:rPr>
        <w:t>基本运转经费39.14万元，主要包括：办公费、物业管理费、差旅费、公务接待费、劳务费、工会经费、福利费、其他交通费用。</w:t>
      </w:r>
    </w:p>
    <w:p>
      <w:pPr>
        <w:pStyle w:val="3"/>
        <w:adjustRightInd w:val="0"/>
        <w:spacing w:before="93" w:line="580" w:lineRule="exact"/>
        <w:ind w:firstLine="672" w:firstLineChars="210"/>
        <w:rPr>
          <w:rFonts w:ascii="Times New Roman" w:hAnsi="Times New Roman" w:cs="Times New Roman"/>
          <w:sz w:val="32"/>
          <w:szCs w:val="32"/>
        </w:rPr>
      </w:pPr>
      <w:r>
        <w:rPr>
          <w:rFonts w:ascii="Times New Roman" w:hAnsi="Times New Roman" w:eastAsia="黑体" w:cs="Times New Roman"/>
          <w:sz w:val="32"/>
          <w:szCs w:val="32"/>
        </w:rPr>
        <w:t>七、“三公”经费财政拨款预算安排情况说明</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泸州市残疾人康复服务中心2023年“三公”经费财政拨款预算数6.80万元，其中：因公出国（境）费用0万元，公务接待费0.80万元，公务用车购置及运行维护费6万元。</w:t>
      </w:r>
    </w:p>
    <w:p>
      <w:pPr>
        <w:spacing w:line="580" w:lineRule="exact"/>
        <w:ind w:firstLine="643" w:firstLineChars="200"/>
        <w:rPr>
          <w:rFonts w:ascii="楷体_GB2312" w:hAnsi="Times New Roman" w:eastAsia="楷体_GB2312" w:cs="Times New Roman"/>
          <w:sz w:val="32"/>
          <w:szCs w:val="32"/>
        </w:rPr>
      </w:pPr>
      <w:r>
        <w:rPr>
          <w:rFonts w:hint="eastAsia" w:ascii="楷体_GB2312" w:hAnsi="Times New Roman" w:eastAsia="楷体_GB2312" w:cs="Times New Roman"/>
          <w:b/>
          <w:bCs/>
          <w:sz w:val="32"/>
          <w:szCs w:val="32"/>
        </w:rPr>
        <w:t>（一）</w:t>
      </w:r>
      <w:r>
        <w:rPr>
          <w:rFonts w:hint="eastAsia" w:ascii="楷体_GB2312" w:hAnsi="Times New Roman" w:eastAsia="楷体_GB2312" w:cs="Times New Roman"/>
          <w:b/>
          <w:sz w:val="32"/>
          <w:szCs w:val="32"/>
        </w:rPr>
        <w:t>因公出国（境）费用0万元，</w:t>
      </w:r>
      <w:r>
        <w:rPr>
          <w:rFonts w:hint="eastAsia" w:ascii="楷体_GB2312" w:hAnsi="Times New Roman" w:eastAsia="楷体_GB2312" w:cs="Times New Roman"/>
          <w:b/>
          <w:bCs/>
          <w:sz w:val="32"/>
          <w:szCs w:val="32"/>
        </w:rPr>
        <w:t>与2022年预算持平。</w:t>
      </w:r>
    </w:p>
    <w:p>
      <w:pPr>
        <w:spacing w:line="580" w:lineRule="exact"/>
        <w:ind w:firstLine="640"/>
        <w:rPr>
          <w:rFonts w:ascii="楷体_GB2312" w:hAnsi="Times New Roman" w:eastAsia="楷体_GB2312" w:cs="Times New Roman"/>
          <w:sz w:val="32"/>
          <w:szCs w:val="32"/>
        </w:rPr>
      </w:pPr>
      <w:r>
        <w:rPr>
          <w:rFonts w:hint="eastAsia" w:ascii="楷体_GB2312" w:hAnsi="Times New Roman" w:eastAsia="楷体_GB2312" w:cs="Times New Roman"/>
          <w:b/>
          <w:bCs/>
          <w:sz w:val="32"/>
          <w:szCs w:val="32"/>
        </w:rPr>
        <w:t>（二）公务接待费0.80万元，与2022年预算下降20%。</w:t>
      </w:r>
    </w:p>
    <w:p>
      <w:p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2023年公务接待费计划用于</w:t>
      </w:r>
      <w:r>
        <w:rPr>
          <w:rFonts w:ascii="Times New Roman" w:hAnsi="Times New Roman" w:eastAsia="方正仿宋简体" w:cs="Times New Roman"/>
          <w:color w:val="000000"/>
          <w:sz w:val="32"/>
          <w:szCs w:val="32"/>
        </w:rPr>
        <w:t>各种业务交流和调研</w:t>
      </w:r>
      <w:r>
        <w:rPr>
          <w:rFonts w:ascii="Times New Roman" w:hAnsi="Times New Roman" w:eastAsia="仿宋_GB2312" w:cs="Times New Roman"/>
          <w:sz w:val="32"/>
          <w:szCs w:val="32"/>
        </w:rPr>
        <w:t>。</w:t>
      </w:r>
    </w:p>
    <w:p>
      <w:pPr>
        <w:spacing w:line="580" w:lineRule="exact"/>
        <w:ind w:firstLine="640"/>
        <w:rPr>
          <w:rFonts w:ascii="楷体_GB2312" w:hAnsi="Times New Roman" w:eastAsia="楷体_GB2312" w:cs="Times New Roman"/>
          <w:sz w:val="32"/>
          <w:szCs w:val="32"/>
        </w:rPr>
      </w:pPr>
      <w:r>
        <w:rPr>
          <w:rFonts w:hint="eastAsia" w:ascii="楷体_GB2312" w:hAnsi="Times New Roman" w:eastAsia="楷体_GB2312" w:cs="Times New Roman"/>
          <w:b/>
          <w:bCs/>
          <w:sz w:val="32"/>
          <w:szCs w:val="32"/>
        </w:rPr>
        <w:t>（三）公务用车购置及运行维护费6万元，与202</w:t>
      </w:r>
      <w:r>
        <w:rPr>
          <w:rFonts w:hint="eastAsia" w:ascii="楷体_GB2312" w:hAnsi="Times New Roman" w:eastAsia="楷体_GB2312" w:cs="Times New Roman"/>
          <w:b/>
          <w:bCs/>
          <w:sz w:val="32"/>
          <w:szCs w:val="32"/>
          <w:lang w:val="en-US" w:eastAsia="zh-CN"/>
        </w:rPr>
        <w:t>2</w:t>
      </w:r>
      <w:r>
        <w:rPr>
          <w:rFonts w:hint="eastAsia" w:ascii="楷体_GB2312" w:hAnsi="Times New Roman" w:eastAsia="楷体_GB2312" w:cs="Times New Roman"/>
          <w:b/>
          <w:bCs/>
          <w:sz w:val="32"/>
          <w:szCs w:val="32"/>
        </w:rPr>
        <w:t>年预算持平。</w:t>
      </w:r>
    </w:p>
    <w:p>
      <w:pPr>
        <w:spacing w:line="58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单位现有公务用车1辆，其中：轿车0辆，旅行车（含商务车）0辆，越野车0辆，大型客0、货车0辆、其他车1辆。</w:t>
      </w:r>
    </w:p>
    <w:p>
      <w:pPr>
        <w:spacing w:line="580" w:lineRule="exact"/>
        <w:ind w:firstLine="640" w:firstLineChars="200"/>
        <w:jc w:val="left"/>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sz w:val="32"/>
          <w:szCs w:val="32"/>
        </w:rPr>
        <w:t>2023年安排公务用车运行维护费6万元，用于1辆特种设备用车燃油、维修、保险等方面支出，</w:t>
      </w:r>
      <w:r>
        <w:rPr>
          <w:rFonts w:hint="eastAsia" w:ascii="仿宋_GB2312" w:hAnsi="Times New Roman" w:eastAsia="仿宋_GB2312" w:cs="Times New Roman"/>
          <w:color w:val="000000" w:themeColor="text1"/>
          <w:sz w:val="32"/>
          <w:szCs w:val="32"/>
        </w:rPr>
        <w:t>主要保障残疾人康复及辅具适配工作开展。</w:t>
      </w:r>
    </w:p>
    <w:p>
      <w:pPr>
        <w:spacing w:line="58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七、政府性基金预算支出情况说明</w:t>
      </w:r>
    </w:p>
    <w:p>
      <w:pPr>
        <w:spacing w:line="58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泸州市残疾人康复服务中心2023年没有使用政府性基金预算拨款安排的支出。</w:t>
      </w:r>
    </w:p>
    <w:p>
      <w:pPr>
        <w:spacing w:line="58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八、国有资本经营预算支出情况说明</w:t>
      </w:r>
    </w:p>
    <w:p>
      <w:pPr>
        <w:spacing w:line="58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泸州市残疾人康复服务中心2023年没有使用国有资本经营预算拨款安排的支出。</w:t>
      </w:r>
    </w:p>
    <w:p>
      <w:pPr>
        <w:spacing w:line="58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九、其他重要事项的情况说明</w:t>
      </w:r>
    </w:p>
    <w:p>
      <w:pPr>
        <w:spacing w:line="580" w:lineRule="exact"/>
        <w:ind w:firstLine="643" w:firstLineChars="200"/>
        <w:rPr>
          <w:rFonts w:ascii="Times New Roman" w:hAnsi="Times New Roman" w:eastAsia="楷体_GB2312" w:cs="Times New Roman"/>
          <w:b/>
          <w:bCs/>
        </w:rPr>
      </w:pPr>
      <w:r>
        <w:rPr>
          <w:rFonts w:ascii="Times New Roman" w:hAnsi="Times New Roman" w:eastAsia="楷体_GB2312" w:cs="Times New Roman"/>
          <w:b/>
          <w:bCs/>
          <w:sz w:val="32"/>
          <w:szCs w:val="32"/>
        </w:rPr>
        <w:t>（一）单位运行经费</w:t>
      </w:r>
    </w:p>
    <w:p>
      <w:pPr>
        <w:spacing w:line="58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2023年，泸州市残疾人康复服务中心单位运行经费财政拨款预算为</w:t>
      </w:r>
      <w:r>
        <w:rPr>
          <w:rFonts w:hint="eastAsia" w:ascii="仿宋_GB2312" w:hAnsi="仿宋_GB2312" w:eastAsia="仿宋_GB2312" w:cs="仿宋_GB2312"/>
          <w:sz w:val="32"/>
          <w:szCs w:val="32"/>
        </w:rPr>
        <w:t>39.14</w:t>
      </w:r>
      <w:r>
        <w:rPr>
          <w:rFonts w:hint="eastAsia" w:ascii="仿宋_GB2312" w:hAnsi="Times New Roman" w:eastAsia="仿宋_GB2312" w:cs="Times New Roman"/>
          <w:sz w:val="32"/>
          <w:szCs w:val="32"/>
        </w:rPr>
        <w:t>万元，比202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年预算增加</w:t>
      </w:r>
      <w:r>
        <w:rPr>
          <w:rFonts w:hint="eastAsia" w:ascii="仿宋_GB2312" w:hAnsi="Times New Roman" w:eastAsia="仿宋_GB2312" w:cs="Times New Roman"/>
          <w:sz w:val="32"/>
          <w:szCs w:val="32"/>
          <w:lang w:val="en-US" w:eastAsia="zh-CN"/>
        </w:rPr>
        <w:t>6.67</w:t>
      </w:r>
      <w:r>
        <w:rPr>
          <w:rFonts w:hint="eastAsia" w:ascii="仿宋_GB2312" w:hAnsi="Times New Roman" w:eastAsia="仿宋_GB2312" w:cs="Times New Roman"/>
          <w:sz w:val="32"/>
          <w:szCs w:val="32"/>
        </w:rPr>
        <w:t>万元，增长</w:t>
      </w:r>
      <w:r>
        <w:rPr>
          <w:rFonts w:hint="eastAsia" w:ascii="仿宋_GB2312" w:hAnsi="Times New Roman" w:eastAsia="仿宋_GB2312" w:cs="Times New Roman"/>
          <w:sz w:val="32"/>
          <w:szCs w:val="32"/>
          <w:lang w:val="en-US" w:eastAsia="zh-CN"/>
        </w:rPr>
        <w:t>20.54</w:t>
      </w:r>
      <w:r>
        <w:rPr>
          <w:rFonts w:hint="eastAsia" w:ascii="仿宋_GB2312" w:hAnsi="Times New Roman" w:eastAsia="仿宋_GB2312" w:cs="Times New Roman"/>
          <w:sz w:val="32"/>
          <w:szCs w:val="32"/>
        </w:rPr>
        <w:t>%。主要原因是202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年调入</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名职工。</w:t>
      </w:r>
    </w:p>
    <w:p>
      <w:pPr>
        <w:spacing w:line="580" w:lineRule="exact"/>
        <w:ind w:firstLine="64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（二）政府采购情况</w:t>
      </w:r>
    </w:p>
    <w:p>
      <w:pPr>
        <w:pStyle w:val="17"/>
        <w:widowControl w:val="0"/>
        <w:spacing w:before="0" w:line="580" w:lineRule="exact"/>
        <w:ind w:firstLine="675"/>
        <w:rPr>
          <w:rFonts w:hAnsi="Times New Roman"/>
          <w:sz w:val="32"/>
          <w:szCs w:val="32"/>
        </w:rPr>
      </w:pPr>
      <w:r>
        <w:rPr>
          <w:rFonts w:hint="eastAsia" w:hAnsi="Times New Roman"/>
          <w:color w:val="000000" w:themeColor="text1"/>
          <w:sz w:val="32"/>
          <w:szCs w:val="32"/>
        </w:rPr>
        <w:t>2023年</w:t>
      </w:r>
      <w:r>
        <w:rPr>
          <w:rFonts w:hint="eastAsia" w:hAnsi="Times New Roman"/>
          <w:sz w:val="32"/>
          <w:szCs w:val="32"/>
        </w:rPr>
        <w:t>泸州市残疾人康复服务中心</w:t>
      </w:r>
      <w:r>
        <w:rPr>
          <w:rFonts w:hint="eastAsia" w:hAnsi="Times New Roman"/>
          <w:color w:val="000000" w:themeColor="text1"/>
          <w:sz w:val="32"/>
          <w:szCs w:val="32"/>
        </w:rPr>
        <w:t>安排政府采购预算</w:t>
      </w:r>
      <w:r>
        <w:rPr>
          <w:rFonts w:hint="eastAsia" w:hAnsi="Times New Roman"/>
          <w:color w:val="000000" w:themeColor="text1"/>
          <w:sz w:val="32"/>
          <w:szCs w:val="32"/>
          <w:lang w:val="en-US" w:eastAsia="zh-CN"/>
        </w:rPr>
        <w:t>200</w:t>
      </w:r>
      <w:r>
        <w:rPr>
          <w:rFonts w:hint="eastAsia" w:hAnsi="Times New Roman"/>
          <w:color w:val="000000" w:themeColor="text1"/>
          <w:sz w:val="32"/>
          <w:szCs w:val="32"/>
        </w:rPr>
        <w:t>万元，与上年相比增加了</w:t>
      </w:r>
      <w:r>
        <w:rPr>
          <w:rFonts w:hint="eastAsia" w:hAnsi="Times New Roman"/>
          <w:color w:val="000000" w:themeColor="text1"/>
          <w:sz w:val="32"/>
          <w:szCs w:val="32"/>
          <w:lang w:val="en-US" w:eastAsia="zh-CN"/>
        </w:rPr>
        <w:t>67.06</w:t>
      </w:r>
      <w:r>
        <w:rPr>
          <w:rFonts w:hint="eastAsia" w:hAnsi="Times New Roman"/>
          <w:color w:val="000000" w:themeColor="text1"/>
          <w:sz w:val="32"/>
          <w:szCs w:val="32"/>
        </w:rPr>
        <w:t>万元，增加的主要原因是</w:t>
      </w:r>
      <w:r>
        <w:rPr>
          <w:rStyle w:val="15"/>
          <w:rFonts w:hint="eastAsia" w:hAnsi="Times New Roman"/>
          <w:sz w:val="32"/>
          <w:szCs w:val="32"/>
        </w:rPr>
        <w:t>励志文化广场提升改造项目。</w:t>
      </w:r>
    </w:p>
    <w:p>
      <w:pPr>
        <w:spacing w:line="580" w:lineRule="exact"/>
        <w:ind w:firstLine="643" w:firstLineChars="200"/>
        <w:jc w:val="left"/>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（三）国有资产占有使用情况</w:t>
      </w:r>
    </w:p>
    <w:p>
      <w:pPr>
        <w:spacing w:line="58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截至202</w:t>
      </w:r>
      <w:r>
        <w:rPr>
          <w:rFonts w:hint="eastAsia" w:ascii="仿宋_GB2312" w:hAnsi="Times New Roman" w:eastAsia="仿宋_GB2312" w:cs="Times New Roman"/>
          <w:sz w:val="32"/>
          <w:szCs w:val="32"/>
          <w:lang w:val="en-US" w:eastAsia="zh-CN"/>
        </w:rPr>
        <w:t>2</w:t>
      </w:r>
      <w:bookmarkStart w:id="0" w:name="_GoBack"/>
      <w:bookmarkEnd w:id="0"/>
      <w:r>
        <w:rPr>
          <w:rFonts w:hint="eastAsia" w:ascii="仿宋_GB2312" w:hAnsi="Times New Roman" w:eastAsia="仿宋_GB2312" w:cs="Times New Roman"/>
          <w:sz w:val="32"/>
          <w:szCs w:val="32"/>
        </w:rPr>
        <w:t>年底，泸州市残疾人康复服务中心共有车辆1辆（车辆数应与“三公”经费说明中单位现有公务用车保有量一致），其中。单位价值200万元以上大型设备0台（套）。</w:t>
      </w:r>
    </w:p>
    <w:p>
      <w:pPr>
        <w:spacing w:line="58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2023年单位预算未安排购置车辆及单位价值200万元以上大型设备。</w:t>
      </w:r>
    </w:p>
    <w:p>
      <w:pPr>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（四）绩效目标设置情况</w:t>
      </w:r>
    </w:p>
    <w:p>
      <w:pPr>
        <w:spacing w:line="58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目标是预算编制的前提和基础，2023年泸州市残疾人康复服务中心所有项目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58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十、名词解释</w:t>
      </w:r>
    </w:p>
    <w:p>
      <w:pPr>
        <w:spacing w:line="580" w:lineRule="exact"/>
        <w:ind w:firstLine="640" w:firstLineChars="2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（一）一般公共预算拨款收入：指市级财政当年拨付的资金。</w:t>
      </w:r>
    </w:p>
    <w:p>
      <w:pPr>
        <w:spacing w:line="580" w:lineRule="exact"/>
        <w:ind w:firstLine="640" w:firstLineChars="2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（二）社会保障和就业支出：反映政府在社会保障和就业方面的支出。</w:t>
      </w:r>
    </w:p>
    <w:p>
      <w:pPr>
        <w:pStyle w:val="14"/>
        <w:spacing w:line="58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sz w:val="32"/>
          <w:szCs w:val="32"/>
        </w:rPr>
        <w:t>（三）</w:t>
      </w:r>
      <w:r>
        <w:rPr>
          <w:rFonts w:hint="eastAsia" w:ascii="仿宋_GB2312" w:hAnsi="Times New Roman" w:eastAsia="仿宋_GB2312" w:cs="Times New Roman"/>
          <w:kern w:val="2"/>
          <w:sz w:val="32"/>
          <w:szCs w:val="32"/>
        </w:rPr>
        <w:t>医疗卫生与计划生育支出：反映政府医疗卫生和计划生育管理方面的支出。</w:t>
      </w:r>
    </w:p>
    <w:p>
      <w:pPr>
        <w:spacing w:line="580" w:lineRule="exact"/>
        <w:ind w:firstLine="645"/>
        <w:rPr>
          <w:rFonts w:ascii="仿宋_GB2312" w:hAnsi="Times New Roman" w:eastAsia="仿宋_GB2312" w:cs="Times New Roman"/>
          <w:sz w:val="32"/>
          <w:szCs w:val="32"/>
        </w:rPr>
      </w:pPr>
      <w:r>
        <w:rPr>
          <w:rFonts w:hint="eastAsia" w:ascii="仿宋_GB2312" w:hAnsi="Times New Roman" w:eastAsia="仿宋_GB2312" w:cs="Times New Roman"/>
          <w:color w:val="000000"/>
          <w:sz w:val="32"/>
          <w:szCs w:val="32"/>
        </w:rPr>
        <w:t>（四）住房和保障支出：集中反映政府用于住房方面的支出。</w:t>
      </w:r>
    </w:p>
    <w:p>
      <w:pPr>
        <w:spacing w:line="580" w:lineRule="exact"/>
        <w:ind w:firstLine="645"/>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（五）未归口管理的行政单位离退休: 指未实行归口管理的行政单位（实行公务员管理的事业单位）开支的离退休支出。</w:t>
      </w:r>
    </w:p>
    <w:p>
      <w:pPr>
        <w:spacing w:line="580" w:lineRule="exact"/>
        <w:ind w:firstLine="645"/>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（六）机关事业单位基本养老保险缴费支出：反映机关事业单位实施养老保险制度由单位缴纳的基本养老保险费支出。</w:t>
      </w:r>
    </w:p>
    <w:p>
      <w:pPr>
        <w:spacing w:line="580" w:lineRule="exact"/>
        <w:ind w:firstLine="645"/>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（七）机关事业单位职业年金缴费支出：反映机关事业单位实施养老保险制度由单位实际缴纳的职业年金支出。</w:t>
      </w:r>
    </w:p>
    <w:p>
      <w:pPr>
        <w:spacing w:line="580" w:lineRule="exact"/>
        <w:ind w:firstLine="645"/>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（八）其他社会保障和就业支出：反映其他用于社会保障和就业方面的支出。</w:t>
      </w:r>
    </w:p>
    <w:p>
      <w:pPr>
        <w:spacing w:line="580" w:lineRule="exact"/>
        <w:ind w:firstLine="645"/>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（九）行政单位医疗：反映财政部门集中安排的行政单位基本医疗保险缴费经费，未参加医疗保险的行政单位的公费医疗经费，按国家规定享受离休人员、红军老战士待遇人员的医疗经费。</w:t>
      </w:r>
    </w:p>
    <w:p>
      <w:pPr>
        <w:spacing w:line="580" w:lineRule="exact"/>
        <w:ind w:firstLine="645"/>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（十）公务员医疗补助: 反映财政部门集中安排的公务员医疗补助经费。</w:t>
      </w:r>
    </w:p>
    <w:p>
      <w:pPr>
        <w:spacing w:line="580" w:lineRule="exact"/>
        <w:ind w:firstLine="645"/>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（十一）住房公积金:反映行政事业单位按人力资源和社会保障部、财政部规定的基本工资和津贴补贴以及规定比例为职工缴纳的住房公积金</w:t>
      </w:r>
    </w:p>
    <w:p>
      <w:pPr>
        <w:spacing w:line="580" w:lineRule="exact"/>
        <w:ind w:firstLine="645"/>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（十二）</w:t>
      </w:r>
      <w:r>
        <w:rPr>
          <w:rFonts w:hint="eastAsia" w:ascii="仿宋_GB2312" w:hAns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45"/>
        <w:rPr>
          <w:rFonts w:ascii="仿宋_GB2312" w:hAnsi="Times New Roman" w:eastAsia="仿宋_GB2312" w:cs="Times New Roman"/>
          <w:sz w:val="32"/>
          <w:szCs w:val="32"/>
        </w:rPr>
      </w:pPr>
      <w:r>
        <w:rPr>
          <w:rFonts w:hint="eastAsia" w:ascii="仿宋_GB2312" w:hAnsi="Times New Roman" w:eastAsia="仿宋_GB2312" w:cs="Times New Roman"/>
          <w:color w:val="000000"/>
          <w:sz w:val="32"/>
          <w:szCs w:val="32"/>
        </w:rPr>
        <w:t>（十三）“</w:t>
      </w:r>
      <w:r>
        <w:rPr>
          <w:rFonts w:hint="eastAsia" w:ascii="仿宋_GB2312" w:hAnsi="Times New Roman" w:eastAsia="仿宋_GB2312" w:cs="Times New Roman"/>
          <w:sz w:val="32"/>
          <w:szCs w:val="32"/>
        </w:rPr>
        <w:t>三公</w:t>
      </w: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sz w:val="32"/>
          <w:szCs w:val="32"/>
        </w:rPr>
        <w:t>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80" w:lineRule="exact"/>
        <w:ind w:firstLine="645"/>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（十四）基本支出：指为保障机构正常运转、完成日常工作任务而发生的人员支出和公用支出。</w:t>
      </w:r>
    </w:p>
    <w:p>
      <w:pPr>
        <w:spacing w:line="580" w:lineRule="exact"/>
        <w:ind w:firstLine="645"/>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（十五）项目支出：指在基本支出之外为完成特定行政任务和事业发展目标所发生的支出。</w:t>
      </w:r>
    </w:p>
    <w:p>
      <w:pPr>
        <w:spacing w:line="580" w:lineRule="exact"/>
        <w:ind w:firstLine="640" w:firstLineChars="200"/>
        <w:jc w:val="left"/>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（十六）上年结转：指以前年度尚未完成，结转到本年仍按原规定用途继续使用的资金。</w:t>
      </w:r>
    </w:p>
    <w:p>
      <w:pPr>
        <w:spacing w:line="580" w:lineRule="exact"/>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附件：表1.部门收支总表</w:t>
      </w:r>
    </w:p>
    <w:p>
      <w:pPr>
        <w:spacing w:line="580" w:lineRule="exact"/>
        <w:ind w:firstLine="960" w:firstLineChars="3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表1-1.部门收入总表</w:t>
      </w:r>
    </w:p>
    <w:p>
      <w:pPr>
        <w:spacing w:line="580" w:lineRule="exact"/>
        <w:ind w:firstLine="960" w:firstLineChars="3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表1-2.部门支出总表</w:t>
      </w:r>
    </w:p>
    <w:p>
      <w:pPr>
        <w:spacing w:line="580" w:lineRule="exact"/>
        <w:ind w:firstLine="960" w:firstLineChars="3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表2.财政拨款收支预算总表</w:t>
      </w:r>
    </w:p>
    <w:p>
      <w:pPr>
        <w:spacing w:line="580" w:lineRule="exact"/>
        <w:ind w:firstLine="960" w:firstLineChars="3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表2-1.财政拨款支出预算表（政府经济分类科目）</w:t>
      </w:r>
    </w:p>
    <w:p>
      <w:pPr>
        <w:spacing w:line="580" w:lineRule="exact"/>
        <w:ind w:firstLine="960" w:firstLineChars="3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表3.一般公共预算支出预算表</w:t>
      </w:r>
    </w:p>
    <w:p>
      <w:pPr>
        <w:spacing w:line="580" w:lineRule="exact"/>
        <w:ind w:firstLine="960" w:firstLineChars="3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表3-1.一般公共预算基本支出预算表</w:t>
      </w:r>
    </w:p>
    <w:p>
      <w:pPr>
        <w:spacing w:line="580" w:lineRule="exact"/>
        <w:ind w:firstLine="960" w:firstLineChars="3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表3-2.一般公共预算项目支出预算表</w:t>
      </w:r>
    </w:p>
    <w:p>
      <w:pPr>
        <w:spacing w:line="580" w:lineRule="exact"/>
        <w:ind w:firstLine="960" w:firstLineChars="3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表3-3.一般公共预算“三公”经费支出预算表</w:t>
      </w:r>
    </w:p>
    <w:p>
      <w:pPr>
        <w:spacing w:line="580" w:lineRule="exact"/>
        <w:ind w:firstLine="960" w:firstLineChars="3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表4.政府性基金支出预算表</w:t>
      </w:r>
    </w:p>
    <w:p>
      <w:pPr>
        <w:spacing w:line="580" w:lineRule="exact"/>
        <w:ind w:firstLine="960" w:firstLineChars="3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表4-1.政府性基金预算“三公”经费支出预算表</w:t>
      </w:r>
    </w:p>
    <w:p>
      <w:pPr>
        <w:spacing w:line="580" w:lineRule="exact"/>
        <w:ind w:firstLine="960" w:firstLineChars="3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表5.国有资本经营预算支出预算表</w:t>
      </w:r>
    </w:p>
    <w:p>
      <w:pPr>
        <w:spacing w:line="580" w:lineRule="exact"/>
        <w:ind w:firstLine="960" w:firstLineChars="3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表6.部门预算项目绩效目标</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书宋_GBK">
    <w:altName w:val="Arial Unicode MS"/>
    <w:panose1 w:val="03000509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Liberation Serif">
    <w:altName w:val="Traditional Arabic"/>
    <w:panose1 w:val="02020603050405020304"/>
    <w:charset w:val="00"/>
    <w:family w:val="auto"/>
    <w:pitch w:val="default"/>
    <w:sig w:usb0="00000000" w:usb1="00000000" w:usb2="00000000" w:usb3="00000000" w:csb0="6000009F" w:csb1="DFD70000"/>
  </w:font>
  <w:font w:name="楷体">
    <w:panose1 w:val="02010609060101010101"/>
    <w:charset w:val="86"/>
    <w:family w:val="auto"/>
    <w:pitch w:val="default"/>
    <w:sig w:usb0="800002BF" w:usb1="38CF7CFA" w:usb2="00000016" w:usb3="00000000" w:csb0="00040001" w:csb1="00000000"/>
  </w:font>
  <w:font w:name="FreeSerif">
    <w:altName w:val="Simplified Arabic"/>
    <w:panose1 w:val="02020603050405020304"/>
    <w:charset w:val="00"/>
    <w:family w:val="auto"/>
    <w:pitch w:val="default"/>
    <w:sig w:usb0="00000000" w:usb1="00000000" w:usb2="43501B29" w:usb3="04000043" w:csb0="600101FF" w:csb1="FFFF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Traditional Arabic">
    <w:panose1 w:val="02020603050405020304"/>
    <w:charset w:val="00"/>
    <w:family w:val="auto"/>
    <w:pitch w:val="default"/>
    <w:sig w:usb0="00006003" w:usb1="80000000" w:usb2="00000008" w:usb3="00000000" w:csb0="00000041" w:csb1="20080000"/>
  </w:font>
  <w:font w:name="Simplified Arabic">
    <w:panose1 w:val="02020603050405020304"/>
    <w:charset w:val="00"/>
    <w:family w:val="auto"/>
    <w:pitch w:val="default"/>
    <w:sig w:usb0="00002003" w:usb1="00000000" w:usb2="00000000" w:usb3="00000000" w:csb0="00000041" w:csb1="2008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书宋简体">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美黑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方正隶书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center"/>
      <w:rPr>
        <w:rFonts w:cs="Times New Roman"/>
      </w:rPr>
    </w:pPr>
    <w:r>
      <w:fldChar w:fldCharType="begin"/>
    </w:r>
    <w:r>
      <w:instrText xml:space="preserve"> PAGE   \* MERGEFORMAT </w:instrText>
    </w:r>
    <w:r>
      <w:fldChar w:fldCharType="separate"/>
    </w:r>
    <w:r>
      <w:t>1</w:t>
    </w:r>
    <w:r>
      <w:rPr>
        <w:lang w:val="zh-CN"/>
      </w:rP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FF0"/>
    <w:rsid w:val="0002025E"/>
    <w:rsid w:val="000230FB"/>
    <w:rsid w:val="00035292"/>
    <w:rsid w:val="000408B6"/>
    <w:rsid w:val="00052417"/>
    <w:rsid w:val="00075A67"/>
    <w:rsid w:val="00080C8D"/>
    <w:rsid w:val="00081C49"/>
    <w:rsid w:val="0009334A"/>
    <w:rsid w:val="000C4B13"/>
    <w:rsid w:val="000E7F99"/>
    <w:rsid w:val="00121B6B"/>
    <w:rsid w:val="00127717"/>
    <w:rsid w:val="001402CA"/>
    <w:rsid w:val="001527E3"/>
    <w:rsid w:val="00172F34"/>
    <w:rsid w:val="001A496D"/>
    <w:rsid w:val="001D6CBB"/>
    <w:rsid w:val="001E3D93"/>
    <w:rsid w:val="001F1F4A"/>
    <w:rsid w:val="001F3A09"/>
    <w:rsid w:val="00203C5D"/>
    <w:rsid w:val="002063A5"/>
    <w:rsid w:val="00225F9F"/>
    <w:rsid w:val="00233CF6"/>
    <w:rsid w:val="00245681"/>
    <w:rsid w:val="002545FC"/>
    <w:rsid w:val="00264455"/>
    <w:rsid w:val="0027062B"/>
    <w:rsid w:val="00290250"/>
    <w:rsid w:val="002B4EB8"/>
    <w:rsid w:val="002D445B"/>
    <w:rsid w:val="002E133B"/>
    <w:rsid w:val="002E29E8"/>
    <w:rsid w:val="002E56EB"/>
    <w:rsid w:val="003207E7"/>
    <w:rsid w:val="0033047C"/>
    <w:rsid w:val="00330F75"/>
    <w:rsid w:val="00340692"/>
    <w:rsid w:val="0035342F"/>
    <w:rsid w:val="0036161D"/>
    <w:rsid w:val="00392364"/>
    <w:rsid w:val="003A4EC9"/>
    <w:rsid w:val="003B37A9"/>
    <w:rsid w:val="003B62D2"/>
    <w:rsid w:val="003C07FD"/>
    <w:rsid w:val="003E2604"/>
    <w:rsid w:val="003F712E"/>
    <w:rsid w:val="00406D55"/>
    <w:rsid w:val="0041299D"/>
    <w:rsid w:val="0041358E"/>
    <w:rsid w:val="00442002"/>
    <w:rsid w:val="00444FF0"/>
    <w:rsid w:val="00446BAC"/>
    <w:rsid w:val="0046461B"/>
    <w:rsid w:val="004F3101"/>
    <w:rsid w:val="00502BB3"/>
    <w:rsid w:val="00553298"/>
    <w:rsid w:val="0058557A"/>
    <w:rsid w:val="005A13CD"/>
    <w:rsid w:val="005D1E6F"/>
    <w:rsid w:val="005D4E40"/>
    <w:rsid w:val="005E204C"/>
    <w:rsid w:val="005E4432"/>
    <w:rsid w:val="00630AFC"/>
    <w:rsid w:val="00640C81"/>
    <w:rsid w:val="00650530"/>
    <w:rsid w:val="0066231A"/>
    <w:rsid w:val="00690C63"/>
    <w:rsid w:val="00692752"/>
    <w:rsid w:val="00695387"/>
    <w:rsid w:val="006A2F6B"/>
    <w:rsid w:val="006E093E"/>
    <w:rsid w:val="00706D4E"/>
    <w:rsid w:val="007424FF"/>
    <w:rsid w:val="0076145D"/>
    <w:rsid w:val="00792CBB"/>
    <w:rsid w:val="00793D50"/>
    <w:rsid w:val="007C3F33"/>
    <w:rsid w:val="007F1016"/>
    <w:rsid w:val="00815D80"/>
    <w:rsid w:val="00820251"/>
    <w:rsid w:val="00821656"/>
    <w:rsid w:val="008831A1"/>
    <w:rsid w:val="008834C8"/>
    <w:rsid w:val="008913E9"/>
    <w:rsid w:val="00891FED"/>
    <w:rsid w:val="008A44E8"/>
    <w:rsid w:val="008B0E8A"/>
    <w:rsid w:val="008C5561"/>
    <w:rsid w:val="008C573A"/>
    <w:rsid w:val="008E021C"/>
    <w:rsid w:val="008E2E57"/>
    <w:rsid w:val="008E63C0"/>
    <w:rsid w:val="008F34A0"/>
    <w:rsid w:val="00910B54"/>
    <w:rsid w:val="00911D56"/>
    <w:rsid w:val="00927ABE"/>
    <w:rsid w:val="00936B82"/>
    <w:rsid w:val="00954A53"/>
    <w:rsid w:val="009719AD"/>
    <w:rsid w:val="0097723E"/>
    <w:rsid w:val="009808D1"/>
    <w:rsid w:val="0099122F"/>
    <w:rsid w:val="009D34B5"/>
    <w:rsid w:val="00A1709C"/>
    <w:rsid w:val="00A32F8A"/>
    <w:rsid w:val="00A44E76"/>
    <w:rsid w:val="00A6048B"/>
    <w:rsid w:val="00A60D18"/>
    <w:rsid w:val="00A813C1"/>
    <w:rsid w:val="00A956C7"/>
    <w:rsid w:val="00A97DB2"/>
    <w:rsid w:val="00A97F7A"/>
    <w:rsid w:val="00AB09B6"/>
    <w:rsid w:val="00AC447A"/>
    <w:rsid w:val="00AD631F"/>
    <w:rsid w:val="00AE725D"/>
    <w:rsid w:val="00AF694C"/>
    <w:rsid w:val="00B325F2"/>
    <w:rsid w:val="00B42940"/>
    <w:rsid w:val="00B50527"/>
    <w:rsid w:val="00B655FF"/>
    <w:rsid w:val="00B7259F"/>
    <w:rsid w:val="00B90022"/>
    <w:rsid w:val="00B9715C"/>
    <w:rsid w:val="00BB54A0"/>
    <w:rsid w:val="00BC1DB5"/>
    <w:rsid w:val="00BF13EE"/>
    <w:rsid w:val="00BF7F6F"/>
    <w:rsid w:val="00C40672"/>
    <w:rsid w:val="00C46A9F"/>
    <w:rsid w:val="00C67B55"/>
    <w:rsid w:val="00CE53E1"/>
    <w:rsid w:val="00D56141"/>
    <w:rsid w:val="00D73F82"/>
    <w:rsid w:val="00D745B6"/>
    <w:rsid w:val="00D75755"/>
    <w:rsid w:val="00D82DBC"/>
    <w:rsid w:val="00D83D31"/>
    <w:rsid w:val="00D9645E"/>
    <w:rsid w:val="00DA1EEF"/>
    <w:rsid w:val="00DA2587"/>
    <w:rsid w:val="00DF0FFB"/>
    <w:rsid w:val="00DF41E2"/>
    <w:rsid w:val="00DF6433"/>
    <w:rsid w:val="00E03A9D"/>
    <w:rsid w:val="00E22536"/>
    <w:rsid w:val="00E24E33"/>
    <w:rsid w:val="00E45AF2"/>
    <w:rsid w:val="00E46B9A"/>
    <w:rsid w:val="00E569AF"/>
    <w:rsid w:val="00E67C58"/>
    <w:rsid w:val="00E77565"/>
    <w:rsid w:val="00E8637A"/>
    <w:rsid w:val="00E92247"/>
    <w:rsid w:val="00E939F8"/>
    <w:rsid w:val="00EA0321"/>
    <w:rsid w:val="00EB3CA9"/>
    <w:rsid w:val="00EC6DE9"/>
    <w:rsid w:val="00EE0820"/>
    <w:rsid w:val="00F01574"/>
    <w:rsid w:val="00F07F2E"/>
    <w:rsid w:val="00F31006"/>
    <w:rsid w:val="00F42AC3"/>
    <w:rsid w:val="00F57190"/>
    <w:rsid w:val="00FD4BB4"/>
    <w:rsid w:val="024E7C57"/>
    <w:rsid w:val="068A39B8"/>
    <w:rsid w:val="08B70671"/>
    <w:rsid w:val="106B567E"/>
    <w:rsid w:val="1155307D"/>
    <w:rsid w:val="1AEC4E38"/>
    <w:rsid w:val="23BE5BB1"/>
    <w:rsid w:val="2B6340D0"/>
    <w:rsid w:val="2BB978BD"/>
    <w:rsid w:val="2D144984"/>
    <w:rsid w:val="2D5466B6"/>
    <w:rsid w:val="317714B4"/>
    <w:rsid w:val="331F61ED"/>
    <w:rsid w:val="3B4E1CDB"/>
    <w:rsid w:val="3ED92F73"/>
    <w:rsid w:val="3F3E79D2"/>
    <w:rsid w:val="414C4F70"/>
    <w:rsid w:val="49A71AE5"/>
    <w:rsid w:val="5A3B5997"/>
    <w:rsid w:val="5CCE1291"/>
    <w:rsid w:val="69881224"/>
    <w:rsid w:val="6E9C4324"/>
    <w:rsid w:val="6FF653BE"/>
    <w:rsid w:val="7E8E7252"/>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table of figures"/>
    <w:basedOn w:val="1"/>
    <w:next w:val="1"/>
    <w:unhideWhenUsed/>
    <w:qFormat/>
    <w:uiPriority w:val="99"/>
    <w:pPr>
      <w:ind w:left="200" w:leftChars="200" w:hanging="200" w:hangingChars="200"/>
    </w:pPr>
  </w:style>
  <w:style w:type="paragraph" w:styleId="3">
    <w:name w:val="Body Text"/>
    <w:basedOn w:val="1"/>
    <w:link w:val="11"/>
    <w:qFormat/>
    <w:uiPriority w:val="99"/>
    <w:pPr>
      <w:spacing w:beforeLines="30"/>
    </w:pPr>
    <w:rPr>
      <w:rFonts w:ascii="仿宋_GB2312" w:eastAsia="仿宋_GB2312" w:cs="仿宋_GB2312"/>
      <w:sz w:val="30"/>
      <w:szCs w:val="30"/>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locked/>
    <w:uiPriority w:val="0"/>
    <w:pPr>
      <w:tabs>
        <w:tab w:val="right" w:leader="dot" w:pos="8296"/>
      </w:tabs>
      <w:spacing w:before="93"/>
      <w:jc w:val="center"/>
    </w:pPr>
    <w:rPr>
      <w:rFonts w:ascii="仿宋" w:hAnsi="仿宋" w:eastAsia="仿宋"/>
      <w:sz w:val="28"/>
      <w:szCs w:val="28"/>
    </w:rPr>
  </w:style>
  <w:style w:type="paragraph" w:styleId="7">
    <w:name w:val="toc 2"/>
    <w:basedOn w:val="1"/>
    <w:next w:val="1"/>
    <w:qFormat/>
    <w:locked/>
    <w:uiPriority w:val="0"/>
    <w:pPr>
      <w:tabs>
        <w:tab w:val="right" w:leader="dot" w:pos="8296"/>
      </w:tabs>
      <w:ind w:left="420" w:leftChars="200"/>
    </w:pPr>
  </w:style>
  <w:style w:type="character" w:styleId="9">
    <w:name w:val="Hyperlink"/>
    <w:basedOn w:val="8"/>
    <w:unhideWhenUsed/>
    <w:qFormat/>
    <w:uiPriority w:val="99"/>
    <w:rPr>
      <w:rFonts w:cs="Times New Roman"/>
      <w:color w:val="0000FF"/>
      <w:u w:val="single"/>
    </w:rPr>
  </w:style>
  <w:style w:type="character" w:customStyle="1" w:styleId="11">
    <w:name w:val="正文文本 Char"/>
    <w:basedOn w:val="8"/>
    <w:link w:val="3"/>
    <w:semiHidden/>
    <w:qFormat/>
    <w:uiPriority w:val="99"/>
    <w:rPr>
      <w:rFonts w:ascii="Calibri" w:hAnsi="Calibri" w:cs="Calibri"/>
      <w:szCs w:val="21"/>
    </w:rPr>
  </w:style>
  <w:style w:type="character" w:customStyle="1" w:styleId="12">
    <w:name w:val="页脚 Char"/>
    <w:basedOn w:val="8"/>
    <w:link w:val="4"/>
    <w:locked/>
    <w:uiPriority w:val="99"/>
    <w:rPr>
      <w:sz w:val="18"/>
      <w:szCs w:val="18"/>
    </w:rPr>
  </w:style>
  <w:style w:type="character" w:customStyle="1" w:styleId="13">
    <w:name w:val="页眉 Char"/>
    <w:basedOn w:val="8"/>
    <w:link w:val="5"/>
    <w:semiHidden/>
    <w:locked/>
    <w:uiPriority w:val="99"/>
    <w:rPr>
      <w:sz w:val="18"/>
      <w:szCs w:val="18"/>
    </w:rPr>
  </w:style>
  <w:style w:type="paragraph" w:customStyle="1" w:styleId="1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5">
    <w:name w:val="默认段落字体1"/>
    <w:qFormat/>
    <w:uiPriority w:val="0"/>
  </w:style>
  <w:style w:type="paragraph" w:customStyle="1" w:styleId="16">
    <w:name w:val="正文文本1"/>
    <w:basedOn w:val="1"/>
    <w:uiPriority w:val="0"/>
    <w:pPr>
      <w:spacing w:before="93"/>
    </w:pPr>
    <w:rPr>
      <w:rFonts w:ascii="仿宋_GB2312" w:hAnsi="仿宋_GB2312" w:eastAsia="仿宋_GB2312" w:cs="Times New Roman"/>
      <w:kern w:val="0"/>
      <w:sz w:val="30"/>
      <w:szCs w:val="20"/>
    </w:rPr>
  </w:style>
  <w:style w:type="paragraph" w:customStyle="1" w:styleId="17">
    <w:name w:val="????1"/>
    <w:basedOn w:val="1"/>
    <w:qFormat/>
    <w:uiPriority w:val="0"/>
    <w:pPr>
      <w:widowControl/>
      <w:spacing w:before="93"/>
    </w:pPr>
    <w:rPr>
      <w:rFonts w:ascii="仿宋_GB2312" w:hAnsi="仿宋_GB2312" w:eastAsia="仿宋_GB2312" w:cs="Times New Roman"/>
      <w:kern w:val="0"/>
      <w:sz w:val="3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557</Words>
  <Characters>3177</Characters>
  <Lines>26</Lines>
  <Paragraphs>7</Paragraphs>
  <ScaleCrop>false</ScaleCrop>
  <LinksUpToDate>false</LinksUpToDate>
  <CharactersWithSpaces>3727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2017-01-11T13:35:00Z</dcterms:created>
  <dc:creator>黄文福</dc:creator>
  <cp:lastModifiedBy>Administrator</cp:lastModifiedBy>
  <cp:lastPrinted>2023-02-09T08:48:55Z</cp:lastPrinted>
  <dcterms:modified xsi:type="dcterms:W3CDTF">2023-02-09T09:05:53Z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